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26" w:beforeLines="100" w:line="480" w:lineRule="auto"/>
        <w:ind w:firstLine="883"/>
        <w:jc w:val="center"/>
        <w:rPr>
          <w:b/>
          <w:sz w:val="44"/>
          <w:szCs w:val="44"/>
        </w:rPr>
      </w:pPr>
      <w:bookmarkStart w:id="0" w:name="_Toc9048"/>
      <w:bookmarkStart w:id="1" w:name="_Toc12436"/>
      <w:bookmarkStart w:id="2" w:name="_Toc6476"/>
      <w:bookmarkStart w:id="1374" w:name="_GoBack"/>
      <w:bookmarkEnd w:id="1374"/>
    </w:p>
    <w:p>
      <w:pPr>
        <w:spacing w:line="720" w:lineRule="auto"/>
        <w:ind w:firstLine="440"/>
        <w:rPr>
          <w:sz w:val="22"/>
          <w:szCs w:val="22"/>
        </w:rPr>
      </w:pPr>
    </w:p>
    <w:p>
      <w:pPr>
        <w:spacing w:line="720" w:lineRule="auto"/>
        <w:ind w:firstLine="0" w:firstLineChars="0"/>
        <w:jc w:val="center"/>
        <w:outlineLvl w:val="0"/>
        <w:rPr>
          <w:b/>
          <w:spacing w:val="-10"/>
          <w:sz w:val="48"/>
          <w:szCs w:val="48"/>
        </w:rPr>
      </w:pPr>
      <w:bookmarkStart w:id="3" w:name="_Toc14394"/>
      <w:bookmarkStart w:id="4" w:name="_Toc6613"/>
      <w:bookmarkStart w:id="5" w:name="_Toc7606"/>
      <w:bookmarkStart w:id="6" w:name="_Toc28422"/>
      <w:bookmarkStart w:id="7" w:name="_Toc22027"/>
      <w:bookmarkStart w:id="8" w:name="_Toc16798"/>
      <w:bookmarkStart w:id="9" w:name="_Toc13715"/>
      <w:bookmarkStart w:id="10" w:name="_Toc14389"/>
      <w:bookmarkStart w:id="11" w:name="_Toc3686"/>
      <w:bookmarkStart w:id="12" w:name="_Toc28991"/>
      <w:bookmarkStart w:id="13" w:name="_Toc24329"/>
      <w:r>
        <w:rPr>
          <w:rFonts w:hint="eastAsia"/>
          <w:b/>
          <w:sz w:val="48"/>
          <w:szCs w:val="48"/>
        </w:rPr>
        <w:t>智能木业机械设备制造项目</w:t>
      </w:r>
      <w:r>
        <w:rPr>
          <w:b/>
          <w:sz w:val="48"/>
          <w:szCs w:val="48"/>
        </w:rPr>
        <w:t>竣工环境保护验收监测报告</w:t>
      </w:r>
      <w:bookmarkEnd w:id="3"/>
      <w:bookmarkEnd w:id="4"/>
      <w:bookmarkEnd w:id="5"/>
      <w:bookmarkEnd w:id="6"/>
      <w:bookmarkEnd w:id="7"/>
      <w:bookmarkEnd w:id="8"/>
      <w:bookmarkEnd w:id="9"/>
      <w:bookmarkEnd w:id="10"/>
      <w:bookmarkEnd w:id="11"/>
      <w:bookmarkEnd w:id="12"/>
      <w:bookmarkEnd w:id="13"/>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522"/>
        <w:jc w:val="center"/>
        <w:rPr>
          <w:b/>
          <w:spacing w:val="-10"/>
          <w:sz w:val="28"/>
          <w:szCs w:val="28"/>
        </w:rPr>
      </w:pPr>
    </w:p>
    <w:p>
      <w:pPr>
        <w:ind w:firstLine="2108" w:firstLineChars="700"/>
        <w:outlineLvl w:val="0"/>
        <w:rPr>
          <w:b/>
          <w:bCs/>
          <w:sz w:val="30"/>
          <w:szCs w:val="30"/>
        </w:rPr>
      </w:pPr>
      <w:bookmarkStart w:id="14" w:name="_Toc3246"/>
      <w:bookmarkStart w:id="15" w:name="_Toc2691"/>
      <w:bookmarkStart w:id="16" w:name="_Toc2116"/>
      <w:bookmarkStart w:id="17" w:name="_Toc7243"/>
      <w:bookmarkStart w:id="18" w:name="_Toc738"/>
      <w:bookmarkStart w:id="19" w:name="_Toc26006"/>
      <w:bookmarkStart w:id="20" w:name="_Toc28151"/>
      <w:bookmarkStart w:id="21" w:name="_Toc22461"/>
      <w:bookmarkStart w:id="22" w:name="_Toc24591"/>
      <w:bookmarkStart w:id="23" w:name="_Toc27399"/>
      <w:bookmarkStart w:id="24" w:name="_Toc22342"/>
      <w:r>
        <w:rPr>
          <w:b/>
          <w:bCs/>
          <w:sz w:val="30"/>
          <w:szCs w:val="30"/>
        </w:rPr>
        <w:t>建设单位：</w:t>
      </w:r>
      <w:bookmarkEnd w:id="14"/>
      <w:r>
        <w:rPr>
          <w:rFonts w:hint="eastAsia"/>
          <w:b/>
          <w:bCs/>
          <w:sz w:val="30"/>
          <w:szCs w:val="30"/>
        </w:rPr>
        <w:t>山东德勤智能设备有限公司</w:t>
      </w:r>
      <w:bookmarkEnd w:id="15"/>
      <w:bookmarkEnd w:id="16"/>
      <w:bookmarkEnd w:id="17"/>
      <w:bookmarkEnd w:id="18"/>
      <w:bookmarkEnd w:id="19"/>
      <w:bookmarkEnd w:id="20"/>
      <w:bookmarkEnd w:id="21"/>
      <w:bookmarkEnd w:id="22"/>
      <w:bookmarkEnd w:id="23"/>
      <w:bookmarkEnd w:id="24"/>
    </w:p>
    <w:p>
      <w:pPr>
        <w:ind w:firstLine="2108" w:firstLineChars="700"/>
        <w:outlineLvl w:val="0"/>
        <w:rPr>
          <w:b/>
          <w:bCs/>
          <w:sz w:val="30"/>
          <w:szCs w:val="30"/>
        </w:rPr>
      </w:pPr>
      <w:bookmarkStart w:id="25" w:name="_Toc20569"/>
      <w:bookmarkStart w:id="26" w:name="_Toc32545"/>
      <w:bookmarkStart w:id="27" w:name="_Toc31480"/>
      <w:bookmarkStart w:id="28" w:name="_Toc17019"/>
      <w:bookmarkStart w:id="29" w:name="_Toc20257"/>
      <w:bookmarkStart w:id="30" w:name="_Toc5470"/>
      <w:bookmarkStart w:id="31" w:name="_Toc14586"/>
      <w:bookmarkStart w:id="32" w:name="_Toc32747"/>
      <w:bookmarkStart w:id="33" w:name="_Toc5927"/>
      <w:bookmarkStart w:id="34" w:name="_Toc13418"/>
      <w:bookmarkStart w:id="35" w:name="_Toc12210"/>
      <w:r>
        <w:rPr>
          <w:b/>
          <w:bCs/>
          <w:sz w:val="30"/>
          <w:szCs w:val="30"/>
        </w:rPr>
        <w:t>编制单位：</w:t>
      </w:r>
      <w:bookmarkEnd w:id="25"/>
      <w:r>
        <w:rPr>
          <w:rFonts w:hint="eastAsia"/>
          <w:b/>
          <w:bCs/>
          <w:sz w:val="30"/>
          <w:szCs w:val="30"/>
        </w:rPr>
        <w:t>山东德勤智能设备有限公司</w:t>
      </w:r>
      <w:bookmarkEnd w:id="26"/>
      <w:bookmarkEnd w:id="27"/>
      <w:bookmarkEnd w:id="28"/>
      <w:bookmarkEnd w:id="29"/>
      <w:bookmarkEnd w:id="30"/>
      <w:bookmarkEnd w:id="31"/>
      <w:bookmarkEnd w:id="32"/>
      <w:bookmarkEnd w:id="33"/>
      <w:bookmarkEnd w:id="34"/>
      <w:bookmarkEnd w:id="35"/>
    </w:p>
    <w:p>
      <w:pPr>
        <w:ind w:firstLine="522"/>
        <w:jc w:val="center"/>
        <w:rPr>
          <w:b/>
          <w:spacing w:val="-10"/>
          <w:sz w:val="28"/>
          <w:szCs w:val="28"/>
        </w:rPr>
      </w:pPr>
    </w:p>
    <w:p>
      <w:pPr>
        <w:ind w:firstLine="522"/>
        <w:rPr>
          <w:b/>
          <w:spacing w:val="-10"/>
          <w:sz w:val="28"/>
          <w:szCs w:val="28"/>
        </w:rPr>
      </w:pPr>
    </w:p>
    <w:p>
      <w:pPr>
        <w:ind w:firstLine="522"/>
        <w:rPr>
          <w:b/>
          <w:spacing w:val="-10"/>
          <w:sz w:val="28"/>
          <w:szCs w:val="28"/>
        </w:rPr>
      </w:pPr>
    </w:p>
    <w:p>
      <w:pPr>
        <w:ind w:firstLine="522"/>
        <w:rPr>
          <w:b/>
          <w:spacing w:val="-10"/>
          <w:sz w:val="28"/>
          <w:szCs w:val="28"/>
        </w:rPr>
      </w:pPr>
    </w:p>
    <w:p>
      <w:pPr>
        <w:ind w:firstLine="522"/>
        <w:rPr>
          <w:b/>
          <w:spacing w:val="-10"/>
          <w:sz w:val="28"/>
          <w:szCs w:val="28"/>
        </w:rPr>
      </w:pPr>
    </w:p>
    <w:p>
      <w:pPr>
        <w:ind w:firstLine="602"/>
        <w:jc w:val="center"/>
        <w:outlineLvl w:val="0"/>
        <w:rPr>
          <w:b/>
          <w:bCs/>
          <w:sz w:val="30"/>
          <w:szCs w:val="30"/>
        </w:rPr>
      </w:pPr>
      <w:bookmarkStart w:id="36" w:name="_Toc7591"/>
      <w:bookmarkStart w:id="37" w:name="_Toc16379"/>
      <w:bookmarkStart w:id="38" w:name="_Toc21235"/>
      <w:bookmarkStart w:id="39" w:name="_Toc22233"/>
      <w:bookmarkStart w:id="40" w:name="_Toc5112"/>
      <w:bookmarkStart w:id="41" w:name="_Toc7736"/>
      <w:bookmarkStart w:id="42" w:name="_Toc25539"/>
      <w:bookmarkStart w:id="43" w:name="_Toc4405"/>
      <w:bookmarkStart w:id="44" w:name="_Toc31137"/>
      <w:bookmarkStart w:id="45" w:name="_Toc8261"/>
      <w:bookmarkStart w:id="46" w:name="_Toc6674"/>
      <w:r>
        <w:rPr>
          <w:b/>
          <w:bCs/>
          <w:sz w:val="30"/>
          <w:szCs w:val="30"/>
        </w:rPr>
        <w:t xml:space="preserve">二 Ｏ 二 </w:t>
      </w:r>
      <w:r>
        <w:rPr>
          <w:rFonts w:hint="eastAsia"/>
          <w:b/>
          <w:bCs/>
          <w:sz w:val="30"/>
          <w:szCs w:val="30"/>
        </w:rPr>
        <w:t>四</w:t>
      </w:r>
      <w:r>
        <w:rPr>
          <w:b/>
          <w:bCs/>
          <w:sz w:val="30"/>
          <w:szCs w:val="30"/>
        </w:rPr>
        <w:t xml:space="preserve"> 年 </w:t>
      </w:r>
      <w:r>
        <w:rPr>
          <w:rFonts w:hint="eastAsia"/>
          <w:b/>
          <w:bCs/>
          <w:sz w:val="30"/>
          <w:szCs w:val="30"/>
        </w:rPr>
        <w:t>三</w:t>
      </w:r>
      <w:r>
        <w:rPr>
          <w:b/>
          <w:bCs/>
          <w:sz w:val="30"/>
          <w:szCs w:val="30"/>
        </w:rPr>
        <w:t xml:space="preserve"> 月</w:t>
      </w:r>
      <w:bookmarkEnd w:id="36"/>
      <w:bookmarkEnd w:id="37"/>
      <w:bookmarkEnd w:id="38"/>
      <w:bookmarkEnd w:id="39"/>
      <w:bookmarkEnd w:id="40"/>
      <w:bookmarkEnd w:id="41"/>
      <w:bookmarkEnd w:id="42"/>
      <w:bookmarkEnd w:id="43"/>
      <w:bookmarkEnd w:id="44"/>
      <w:bookmarkEnd w:id="45"/>
      <w:bookmarkEnd w:id="46"/>
    </w:p>
    <w:p>
      <w:pPr>
        <w:ind w:firstLine="522"/>
        <w:jc w:val="center"/>
        <w:rPr>
          <w:b/>
          <w:color w:val="FF0000"/>
          <w:spacing w:val="-10"/>
          <w:sz w:val="28"/>
          <w:szCs w:val="28"/>
        </w:rPr>
        <w:sectPr>
          <w:headerReference r:id="rId5" w:type="default"/>
          <w:footerReference r:id="rId6" w:type="default"/>
          <w:pgSz w:w="11905" w:h="16838"/>
          <w:pgMar w:top="1644" w:right="1247" w:bottom="1644" w:left="1587" w:header="709" w:footer="680" w:gutter="0"/>
          <w:pgNumType w:start="1"/>
          <w:cols w:space="720" w:num="1"/>
          <w:docGrid w:type="lines" w:linePitch="326" w:charSpace="0"/>
        </w:sectPr>
      </w:pPr>
    </w:p>
    <w:p>
      <w:pPr>
        <w:ind w:firstLine="480"/>
      </w:pPr>
    </w:p>
    <w:p>
      <w:pPr>
        <w:ind w:firstLine="480"/>
      </w:pPr>
    </w:p>
    <w:p>
      <w:pPr>
        <w:ind w:firstLine="602"/>
        <w:rPr>
          <w:b/>
          <w:sz w:val="30"/>
          <w:szCs w:val="30"/>
        </w:rPr>
      </w:pPr>
      <w:r>
        <w:rPr>
          <w:b/>
          <w:sz w:val="30"/>
          <w:szCs w:val="30"/>
        </w:rPr>
        <w:t>建设单位法人代表：</w:t>
      </w:r>
      <w:r>
        <w:rPr>
          <w:rFonts w:hint="eastAsia"/>
          <w:b/>
          <w:sz w:val="30"/>
          <w:szCs w:val="30"/>
        </w:rPr>
        <w:t>倪铭</w:t>
      </w:r>
    </w:p>
    <w:p>
      <w:pPr>
        <w:ind w:firstLine="480"/>
      </w:pPr>
    </w:p>
    <w:p>
      <w:pPr>
        <w:ind w:firstLine="602"/>
        <w:rPr>
          <w:b/>
          <w:sz w:val="30"/>
          <w:szCs w:val="30"/>
        </w:rPr>
      </w:pPr>
      <w:r>
        <w:rPr>
          <w:b/>
          <w:sz w:val="30"/>
          <w:szCs w:val="30"/>
        </w:rPr>
        <w:t>编制单位法人代表：</w:t>
      </w:r>
      <w:r>
        <w:rPr>
          <w:rFonts w:hint="eastAsia"/>
          <w:b/>
          <w:sz w:val="30"/>
          <w:szCs w:val="30"/>
        </w:rPr>
        <w:t>倪铭</w:t>
      </w:r>
    </w:p>
    <w:p>
      <w:pPr>
        <w:ind w:firstLine="480"/>
      </w:pPr>
    </w:p>
    <w:p>
      <w:pPr>
        <w:ind w:firstLine="663"/>
        <w:rPr>
          <w:b/>
          <w:sz w:val="30"/>
          <w:szCs w:val="30"/>
        </w:rPr>
      </w:pPr>
      <w:r>
        <w:rPr>
          <w:b/>
          <w:w w:val="110"/>
          <w:sz w:val="30"/>
          <w:szCs w:val="30"/>
        </w:rPr>
        <w:t>项 目 负 责 人</w:t>
      </w:r>
      <w:r>
        <w:rPr>
          <w:b/>
          <w:sz w:val="30"/>
          <w:szCs w:val="30"/>
        </w:rPr>
        <w:t>：</w:t>
      </w:r>
      <w:r>
        <w:rPr>
          <w:rFonts w:hint="eastAsia"/>
          <w:b/>
          <w:sz w:val="30"/>
          <w:szCs w:val="30"/>
        </w:rPr>
        <w:t xml:space="preserve"> </w:t>
      </w:r>
    </w:p>
    <w:p>
      <w:pPr>
        <w:ind w:firstLine="480"/>
      </w:pPr>
    </w:p>
    <w:p>
      <w:pPr>
        <w:ind w:firstLine="663"/>
        <w:rPr>
          <w:b/>
          <w:sz w:val="30"/>
          <w:szCs w:val="30"/>
        </w:rPr>
      </w:pPr>
      <w:r>
        <w:rPr>
          <w:b/>
          <w:w w:val="110"/>
          <w:sz w:val="30"/>
          <w:szCs w:val="30"/>
        </w:rPr>
        <w:t>报 告 编 写 人</w:t>
      </w:r>
      <w:r>
        <w:rPr>
          <w:b/>
          <w:sz w:val="30"/>
          <w:szCs w:val="30"/>
        </w:rPr>
        <w:t>：</w:t>
      </w:r>
      <w:r>
        <w:rPr>
          <w:rFonts w:hint="eastAsia"/>
          <w:b/>
          <w:sz w:val="30"/>
          <w:szCs w:val="30"/>
        </w:rPr>
        <w:t xml:space="preserve"> </w:t>
      </w:r>
    </w:p>
    <w:p>
      <w:pPr>
        <w:spacing w:line="480" w:lineRule="auto"/>
        <w:ind w:firstLine="600"/>
        <w:jc w:val="left"/>
        <w:rPr>
          <w:color w:val="FF0000"/>
          <w:sz w:val="30"/>
          <w:szCs w:val="28"/>
        </w:rPr>
      </w:pPr>
    </w:p>
    <w:p>
      <w:pPr>
        <w:spacing w:line="480" w:lineRule="auto"/>
        <w:ind w:firstLine="600"/>
        <w:jc w:val="left"/>
        <w:rPr>
          <w:color w:val="FF0000"/>
          <w:sz w:val="30"/>
          <w:szCs w:val="28"/>
        </w:rPr>
      </w:pPr>
    </w:p>
    <w:p>
      <w:pPr>
        <w:spacing w:line="480" w:lineRule="auto"/>
        <w:ind w:firstLine="600"/>
        <w:jc w:val="left"/>
        <w:rPr>
          <w:color w:val="FF0000"/>
          <w:sz w:val="30"/>
          <w:szCs w:val="28"/>
        </w:rPr>
      </w:pPr>
    </w:p>
    <w:tbl>
      <w:tblPr>
        <w:tblStyle w:val="34"/>
        <w:tblW w:w="0" w:type="auto"/>
        <w:tblInd w:w="0" w:type="dxa"/>
        <w:tblLayout w:type="fixed"/>
        <w:tblCellMar>
          <w:top w:w="0" w:type="dxa"/>
          <w:left w:w="108" w:type="dxa"/>
          <w:bottom w:w="0" w:type="dxa"/>
          <w:right w:w="108" w:type="dxa"/>
        </w:tblCellMar>
      </w:tblPr>
      <w:tblGrid>
        <w:gridCol w:w="4577"/>
        <w:gridCol w:w="4512"/>
      </w:tblGrid>
      <w:tr>
        <w:tblPrEx>
          <w:tblCellMar>
            <w:top w:w="0" w:type="dxa"/>
            <w:left w:w="108" w:type="dxa"/>
            <w:bottom w:w="0" w:type="dxa"/>
            <w:right w:w="108" w:type="dxa"/>
          </w:tblCellMar>
        </w:tblPrEx>
        <w:tc>
          <w:tcPr>
            <w:tcW w:w="4577" w:type="dxa"/>
            <w:shd w:val="clear" w:color="auto" w:fill="FFFFFF"/>
          </w:tcPr>
          <w:p>
            <w:pPr>
              <w:ind w:left="1124" w:hanging="1124" w:hangingChars="400"/>
              <w:rPr>
                <w:b/>
                <w:bCs/>
                <w:sz w:val="30"/>
                <w:szCs w:val="28"/>
              </w:rPr>
            </w:pPr>
            <w:r>
              <w:rPr>
                <w:b/>
                <w:bCs/>
                <w:sz w:val="28"/>
                <w:szCs w:val="28"/>
              </w:rPr>
              <w:t>建设单位：</w:t>
            </w:r>
            <w:r>
              <w:rPr>
                <w:rFonts w:hint="eastAsia"/>
                <w:b/>
                <w:bCs/>
                <w:sz w:val="30"/>
                <w:szCs w:val="30"/>
              </w:rPr>
              <w:t>山东德勤智能设备有限公司</w:t>
            </w:r>
            <w:r>
              <w:rPr>
                <w:b/>
                <w:sz w:val="30"/>
                <w:szCs w:val="30"/>
              </w:rPr>
              <w:t>（公章）</w:t>
            </w:r>
          </w:p>
        </w:tc>
        <w:tc>
          <w:tcPr>
            <w:tcW w:w="4512" w:type="dxa"/>
            <w:shd w:val="clear" w:color="auto" w:fill="FFFFFF"/>
          </w:tcPr>
          <w:p>
            <w:pPr>
              <w:ind w:left="1124" w:hanging="1124" w:hangingChars="400"/>
              <w:rPr>
                <w:b/>
                <w:bCs/>
                <w:sz w:val="30"/>
                <w:szCs w:val="28"/>
              </w:rPr>
            </w:pPr>
            <w:r>
              <w:rPr>
                <w:rFonts w:hint="eastAsia"/>
                <w:b/>
                <w:bCs/>
                <w:sz w:val="28"/>
                <w:szCs w:val="28"/>
              </w:rPr>
              <w:t>编制</w:t>
            </w:r>
            <w:r>
              <w:rPr>
                <w:b/>
                <w:bCs/>
                <w:sz w:val="28"/>
                <w:szCs w:val="28"/>
              </w:rPr>
              <w:t>单位：</w:t>
            </w:r>
            <w:r>
              <w:rPr>
                <w:rFonts w:hint="eastAsia"/>
                <w:b/>
                <w:bCs/>
                <w:sz w:val="30"/>
                <w:szCs w:val="30"/>
              </w:rPr>
              <w:t>山东德勤智能设备有限公司</w:t>
            </w:r>
            <w:r>
              <w:rPr>
                <w:b/>
                <w:sz w:val="30"/>
                <w:szCs w:val="30"/>
              </w:rPr>
              <w:t>（公章）</w:t>
            </w:r>
          </w:p>
        </w:tc>
      </w:tr>
      <w:tr>
        <w:tblPrEx>
          <w:tblCellMar>
            <w:top w:w="0" w:type="dxa"/>
            <w:left w:w="108" w:type="dxa"/>
            <w:bottom w:w="0" w:type="dxa"/>
            <w:right w:w="108" w:type="dxa"/>
          </w:tblCellMar>
        </w:tblPrEx>
        <w:tc>
          <w:tcPr>
            <w:tcW w:w="4577" w:type="dxa"/>
            <w:shd w:val="clear" w:color="auto" w:fill="FFFFFF"/>
            <w:vAlign w:val="center"/>
          </w:tcPr>
          <w:p>
            <w:pPr>
              <w:ind w:firstLine="0" w:firstLineChars="0"/>
              <w:rPr>
                <w:b/>
                <w:bCs/>
                <w:sz w:val="30"/>
                <w:szCs w:val="28"/>
              </w:rPr>
            </w:pPr>
            <w:r>
              <w:rPr>
                <w:b/>
                <w:sz w:val="30"/>
                <w:szCs w:val="30"/>
              </w:rPr>
              <w:t>电</w:t>
            </w:r>
            <w:r>
              <w:rPr>
                <w:b/>
                <w:bCs/>
                <w:sz w:val="28"/>
                <w:szCs w:val="28"/>
              </w:rPr>
              <w:t>话：</w:t>
            </w:r>
            <w:r>
              <w:rPr>
                <w:rFonts w:hint="eastAsia"/>
                <w:b/>
                <w:bCs/>
                <w:sz w:val="28"/>
                <w:szCs w:val="28"/>
              </w:rPr>
              <w:t xml:space="preserve"> </w:t>
            </w:r>
          </w:p>
        </w:tc>
        <w:tc>
          <w:tcPr>
            <w:tcW w:w="4512" w:type="dxa"/>
            <w:shd w:val="clear" w:color="auto" w:fill="FFFFFF"/>
            <w:vAlign w:val="center"/>
          </w:tcPr>
          <w:p>
            <w:pPr>
              <w:ind w:firstLine="0" w:firstLineChars="0"/>
              <w:rPr>
                <w:b/>
                <w:bCs/>
                <w:sz w:val="30"/>
                <w:szCs w:val="28"/>
              </w:rPr>
            </w:pPr>
            <w:r>
              <w:rPr>
                <w:b/>
                <w:sz w:val="30"/>
                <w:szCs w:val="30"/>
              </w:rPr>
              <w:t>电</w:t>
            </w:r>
            <w:r>
              <w:rPr>
                <w:b/>
                <w:bCs/>
                <w:sz w:val="28"/>
                <w:szCs w:val="28"/>
              </w:rPr>
              <w:t>话：</w:t>
            </w:r>
            <w:r>
              <w:rPr>
                <w:rFonts w:hint="eastAsia"/>
                <w:b/>
                <w:bCs/>
                <w:sz w:val="28"/>
                <w:szCs w:val="28"/>
              </w:rPr>
              <w:t xml:space="preserve"> </w:t>
            </w:r>
          </w:p>
        </w:tc>
      </w:tr>
      <w:tr>
        <w:tblPrEx>
          <w:tblCellMar>
            <w:top w:w="0" w:type="dxa"/>
            <w:left w:w="108" w:type="dxa"/>
            <w:bottom w:w="0" w:type="dxa"/>
            <w:right w:w="108" w:type="dxa"/>
          </w:tblCellMar>
        </w:tblPrEx>
        <w:tc>
          <w:tcPr>
            <w:tcW w:w="4577" w:type="dxa"/>
            <w:shd w:val="clear" w:color="auto" w:fill="FFFFFF"/>
            <w:vAlign w:val="center"/>
          </w:tcPr>
          <w:p>
            <w:pPr>
              <w:ind w:firstLine="0" w:firstLineChars="0"/>
              <w:rPr>
                <w:b/>
                <w:bCs/>
                <w:sz w:val="30"/>
                <w:szCs w:val="28"/>
              </w:rPr>
            </w:pPr>
            <w:r>
              <w:rPr>
                <w:b/>
                <w:sz w:val="30"/>
                <w:szCs w:val="30"/>
              </w:rPr>
              <w:t>传真：</w:t>
            </w:r>
          </w:p>
        </w:tc>
        <w:tc>
          <w:tcPr>
            <w:tcW w:w="4512" w:type="dxa"/>
            <w:shd w:val="clear" w:color="auto" w:fill="FFFFFF"/>
            <w:vAlign w:val="center"/>
          </w:tcPr>
          <w:p>
            <w:pPr>
              <w:ind w:firstLine="0" w:firstLineChars="0"/>
              <w:rPr>
                <w:b/>
                <w:bCs/>
                <w:sz w:val="30"/>
                <w:szCs w:val="28"/>
              </w:rPr>
            </w:pPr>
            <w:r>
              <w:rPr>
                <w:b/>
                <w:sz w:val="30"/>
                <w:szCs w:val="30"/>
              </w:rPr>
              <w:t>传真：</w:t>
            </w:r>
          </w:p>
        </w:tc>
      </w:tr>
      <w:tr>
        <w:tblPrEx>
          <w:tblCellMar>
            <w:top w:w="0" w:type="dxa"/>
            <w:left w:w="108" w:type="dxa"/>
            <w:bottom w:w="0" w:type="dxa"/>
            <w:right w:w="108" w:type="dxa"/>
          </w:tblCellMar>
        </w:tblPrEx>
        <w:tc>
          <w:tcPr>
            <w:tcW w:w="4577" w:type="dxa"/>
            <w:shd w:val="clear" w:color="auto" w:fill="FFFFFF"/>
            <w:vAlign w:val="center"/>
          </w:tcPr>
          <w:p>
            <w:pPr>
              <w:ind w:firstLine="0" w:firstLineChars="0"/>
              <w:rPr>
                <w:b/>
                <w:bCs/>
                <w:sz w:val="30"/>
                <w:szCs w:val="28"/>
              </w:rPr>
            </w:pPr>
            <w:r>
              <w:rPr>
                <w:b/>
                <w:sz w:val="30"/>
                <w:szCs w:val="30"/>
              </w:rPr>
              <w:t>邮编：</w:t>
            </w:r>
          </w:p>
        </w:tc>
        <w:tc>
          <w:tcPr>
            <w:tcW w:w="4512" w:type="dxa"/>
            <w:shd w:val="clear" w:color="auto" w:fill="FFFFFF"/>
            <w:vAlign w:val="center"/>
          </w:tcPr>
          <w:p>
            <w:pPr>
              <w:ind w:firstLine="0" w:firstLineChars="0"/>
              <w:rPr>
                <w:b/>
                <w:bCs/>
                <w:sz w:val="28"/>
                <w:szCs w:val="28"/>
              </w:rPr>
            </w:pPr>
            <w:r>
              <w:rPr>
                <w:b/>
                <w:sz w:val="30"/>
                <w:szCs w:val="30"/>
              </w:rPr>
              <w:t>邮编：</w:t>
            </w:r>
          </w:p>
        </w:tc>
      </w:tr>
      <w:tr>
        <w:tblPrEx>
          <w:tblCellMar>
            <w:top w:w="0" w:type="dxa"/>
            <w:left w:w="108" w:type="dxa"/>
            <w:bottom w:w="0" w:type="dxa"/>
            <w:right w:w="108" w:type="dxa"/>
          </w:tblCellMar>
        </w:tblPrEx>
        <w:tc>
          <w:tcPr>
            <w:tcW w:w="4577" w:type="dxa"/>
            <w:shd w:val="clear" w:color="auto" w:fill="FFFFFF"/>
            <w:vAlign w:val="center"/>
          </w:tcPr>
          <w:p>
            <w:pPr>
              <w:ind w:left="904" w:hanging="904" w:hangingChars="300"/>
              <w:rPr>
                <w:b/>
                <w:bCs/>
                <w:sz w:val="30"/>
                <w:szCs w:val="28"/>
              </w:rPr>
            </w:pPr>
            <w:r>
              <w:rPr>
                <w:b/>
                <w:sz w:val="30"/>
                <w:szCs w:val="30"/>
              </w:rPr>
              <w:t>地址：</w:t>
            </w:r>
            <w:r>
              <w:rPr>
                <w:rFonts w:hint="eastAsia"/>
                <w:b/>
                <w:sz w:val="30"/>
                <w:szCs w:val="30"/>
              </w:rPr>
              <w:t>枣庄市峄城区吴林街道吴林大埝园</w:t>
            </w:r>
          </w:p>
        </w:tc>
        <w:tc>
          <w:tcPr>
            <w:tcW w:w="4512" w:type="dxa"/>
            <w:shd w:val="clear" w:color="auto" w:fill="FFFFFF"/>
            <w:vAlign w:val="center"/>
          </w:tcPr>
          <w:p>
            <w:pPr>
              <w:ind w:left="904" w:hanging="904" w:hangingChars="300"/>
              <w:rPr>
                <w:b/>
                <w:bCs/>
                <w:sz w:val="28"/>
                <w:szCs w:val="28"/>
              </w:rPr>
            </w:pPr>
            <w:r>
              <w:rPr>
                <w:b/>
                <w:sz w:val="30"/>
                <w:szCs w:val="30"/>
              </w:rPr>
              <w:t>地址：</w:t>
            </w:r>
            <w:r>
              <w:rPr>
                <w:rFonts w:hint="eastAsia"/>
                <w:b/>
                <w:sz w:val="30"/>
                <w:szCs w:val="30"/>
              </w:rPr>
              <w:t>枣庄市峄城区吴林街道吴林大埝园</w:t>
            </w:r>
          </w:p>
        </w:tc>
      </w:tr>
    </w:tbl>
    <w:p>
      <w:pPr>
        <w:ind w:firstLine="0" w:firstLineChars="0"/>
        <w:jc w:val="center"/>
        <w:rPr>
          <w:color w:val="FF0000"/>
        </w:rPr>
        <w:sectPr>
          <w:pgSz w:w="11905" w:h="16838"/>
          <w:pgMar w:top="1644" w:right="1247" w:bottom="1644" w:left="1587" w:header="709" w:footer="680" w:gutter="0"/>
          <w:pgNumType w:start="1"/>
          <w:cols w:space="720" w:num="1"/>
          <w:docGrid w:type="lines" w:linePitch="326" w:charSpace="0"/>
        </w:sectPr>
      </w:pPr>
      <w:bookmarkStart w:id="47" w:name="_Toc22141"/>
    </w:p>
    <w:bookmarkEnd w:id="47"/>
    <w:p>
      <w:pPr>
        <w:ind w:firstLine="0" w:firstLineChars="0"/>
        <w:jc w:val="center"/>
        <w:rPr>
          <w:color w:val="FF0000"/>
          <w:highlight w:val="red"/>
        </w:rPr>
        <w:sectPr>
          <w:pgSz w:w="11905" w:h="16838"/>
          <w:pgMar w:top="1644" w:right="1247" w:bottom="1644" w:left="1587" w:header="709" w:footer="680" w:gutter="0"/>
          <w:pgNumType w:start="1"/>
          <w:cols w:space="720" w:num="1"/>
          <w:docGrid w:type="lines" w:linePitch="326" w:charSpace="0"/>
        </w:sectPr>
      </w:pPr>
      <w:r>
        <w:drawing>
          <wp:inline distT="0" distB="0" distL="114300" distR="114300">
            <wp:extent cx="5758180" cy="7970520"/>
            <wp:effectExtent l="0" t="0" r="13970" b="11430"/>
            <wp:docPr id="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0"/>
                    <pic:cNvPicPr>
                      <a:picLocks noChangeAspect="1"/>
                    </pic:cNvPicPr>
                  </pic:nvPicPr>
                  <pic:blipFill>
                    <a:blip r:embed="rId15"/>
                    <a:stretch>
                      <a:fillRect/>
                    </a:stretch>
                  </pic:blipFill>
                  <pic:spPr>
                    <a:xfrm>
                      <a:off x="0" y="0"/>
                      <a:ext cx="5758180" cy="7970520"/>
                    </a:xfrm>
                    <a:prstGeom prst="rect">
                      <a:avLst/>
                    </a:prstGeom>
                    <a:noFill/>
                    <a:ln>
                      <a:noFill/>
                    </a:ln>
                  </pic:spPr>
                </pic:pic>
              </a:graphicData>
            </a:graphic>
          </wp:inline>
        </w:drawing>
      </w:r>
    </w:p>
    <w:p>
      <w:pPr>
        <w:pStyle w:val="3"/>
      </w:pPr>
      <w:bookmarkStart w:id="48" w:name="_Toc14341"/>
      <w:bookmarkStart w:id="49" w:name="_Toc13937"/>
      <w:bookmarkStart w:id="50" w:name="_Toc24594"/>
      <w:bookmarkStart w:id="51" w:name="_Toc31674"/>
      <w:bookmarkStart w:id="52" w:name="_Toc12583"/>
      <w:bookmarkStart w:id="53" w:name="_Toc6287"/>
      <w:bookmarkStart w:id="54" w:name="_Toc15566"/>
      <w:bookmarkStart w:id="55" w:name="_Toc15121"/>
      <w:bookmarkStart w:id="56" w:name="_Toc20954"/>
      <w:bookmarkStart w:id="57" w:name="_Toc16539"/>
      <w:bookmarkStart w:id="58" w:name="_Toc2143"/>
      <w:bookmarkStart w:id="59" w:name="_Toc19369"/>
      <w:bookmarkStart w:id="60" w:name="_Toc20125"/>
      <w:bookmarkStart w:id="61" w:name="_Toc32660"/>
      <w:bookmarkStart w:id="62" w:name="_Toc9609"/>
      <w:bookmarkStart w:id="63" w:name="_Toc5019"/>
      <w:bookmarkStart w:id="64" w:name="_Toc25169"/>
      <w:bookmarkStart w:id="65" w:name="_Toc16839"/>
      <w:bookmarkStart w:id="66" w:name="_Toc32190"/>
      <w:r>
        <w:t>目  录</w:t>
      </w:r>
      <w:bookmarkEnd w:id="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pStyle w:val="26"/>
        <w:tabs>
          <w:tab w:val="right" w:leader="dot" w:pos="8901"/>
        </w:tabs>
      </w:pPr>
      <w:r>
        <w:rPr>
          <w:highlight w:val="red"/>
        </w:rPr>
        <w:fldChar w:fldCharType="begin"/>
      </w:r>
      <w:r>
        <w:rPr>
          <w:highlight w:val="red"/>
        </w:rPr>
        <w:instrText xml:space="preserve">TOC \o "1-2" \h \u </w:instrText>
      </w:r>
      <w:r>
        <w:rPr>
          <w:highlight w:val="red"/>
        </w:rPr>
        <w:fldChar w:fldCharType="separate"/>
      </w:r>
      <w:r>
        <w:rPr>
          <w:highlight w:val="red"/>
        </w:rPr>
        <w:fldChar w:fldCharType="begin"/>
      </w:r>
      <w:r>
        <w:rPr>
          <w:highlight w:val="red"/>
        </w:rPr>
        <w:instrText xml:space="preserve"> HYPERLINK \l _Toc21006 </w:instrText>
      </w:r>
      <w:r>
        <w:rPr>
          <w:highlight w:val="red"/>
        </w:rPr>
        <w:fldChar w:fldCharType="separate"/>
      </w:r>
      <w:r>
        <w:t>第一章 验收项目概况</w:t>
      </w:r>
      <w:r>
        <w:tab/>
      </w:r>
      <w:r>
        <w:fldChar w:fldCharType="begin"/>
      </w:r>
      <w:r>
        <w:instrText xml:space="preserve"> PAGEREF _Toc21006 \h </w:instrText>
      </w:r>
      <w:r>
        <w:fldChar w:fldCharType="separate"/>
      </w:r>
      <w:r>
        <w:t>1</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_Toc23078 </w:instrText>
      </w:r>
      <w:r>
        <w:rPr>
          <w:highlight w:val="red"/>
        </w:rPr>
        <w:fldChar w:fldCharType="separate"/>
      </w:r>
      <w:r>
        <w:t>1.1项目概况</w:t>
      </w:r>
      <w:r>
        <w:tab/>
      </w:r>
      <w:r>
        <w:fldChar w:fldCharType="begin"/>
      </w:r>
      <w:r>
        <w:instrText xml:space="preserve"> PAGEREF _Toc23078 \h </w:instrText>
      </w:r>
      <w:r>
        <w:fldChar w:fldCharType="separate"/>
      </w:r>
      <w:r>
        <w:t>1</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_Toc27076 </w:instrText>
      </w:r>
      <w:r>
        <w:rPr>
          <w:highlight w:val="red"/>
        </w:rPr>
        <w:fldChar w:fldCharType="separate"/>
      </w:r>
      <w:r>
        <w:t>1.2验收范围及内容</w:t>
      </w:r>
      <w:r>
        <w:tab/>
      </w:r>
      <w:r>
        <w:fldChar w:fldCharType="begin"/>
      </w:r>
      <w:r>
        <w:instrText xml:space="preserve"> PAGEREF _Toc27076 \h </w:instrText>
      </w:r>
      <w:r>
        <w:fldChar w:fldCharType="separate"/>
      </w:r>
      <w:r>
        <w:t>1</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_Toc1259 </w:instrText>
      </w:r>
      <w:r>
        <w:rPr>
          <w:highlight w:val="red"/>
        </w:rPr>
        <w:fldChar w:fldCharType="separate"/>
      </w:r>
      <w:r>
        <w:t>第二章 验收依据</w:t>
      </w:r>
      <w:r>
        <w:tab/>
      </w:r>
      <w:r>
        <w:fldChar w:fldCharType="begin"/>
      </w:r>
      <w:r>
        <w:instrText xml:space="preserve"> PAGEREF _Toc1259 \h </w:instrText>
      </w:r>
      <w:r>
        <w:fldChar w:fldCharType="separate"/>
      </w:r>
      <w:r>
        <w:t>2</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_Toc20576 </w:instrText>
      </w:r>
      <w:r>
        <w:rPr>
          <w:highlight w:val="red"/>
        </w:rPr>
        <w:fldChar w:fldCharType="separate"/>
      </w:r>
      <w:r>
        <w:t>2.1 建设项目环境保护相关法律、法规和规章制度</w:t>
      </w:r>
      <w:r>
        <w:tab/>
      </w:r>
      <w:r>
        <w:fldChar w:fldCharType="begin"/>
      </w:r>
      <w:r>
        <w:instrText xml:space="preserve"> PAGEREF _Toc20576 \h </w:instrText>
      </w:r>
      <w:r>
        <w:fldChar w:fldCharType="separate"/>
      </w:r>
      <w:r>
        <w:t>2</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_Toc26228 </w:instrText>
      </w:r>
      <w:r>
        <w:rPr>
          <w:highlight w:val="red"/>
        </w:rPr>
        <w:fldChar w:fldCharType="separate"/>
      </w:r>
      <w:r>
        <w:t>2.2 建设项目竣工环境保护验收技术规范</w:t>
      </w:r>
      <w:r>
        <w:tab/>
      </w:r>
      <w:r>
        <w:fldChar w:fldCharType="begin"/>
      </w:r>
      <w:r>
        <w:instrText xml:space="preserve"> PAGEREF _Toc26228 \h </w:instrText>
      </w:r>
      <w:r>
        <w:fldChar w:fldCharType="separate"/>
      </w:r>
      <w:r>
        <w:t>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_Toc3408 </w:instrText>
      </w:r>
      <w:r>
        <w:rPr>
          <w:highlight w:val="red"/>
        </w:rPr>
        <w:fldChar w:fldCharType="separate"/>
      </w:r>
      <w:r>
        <w:t>2</w:t>
      </w:r>
      <w:r>
        <w:rPr>
          <w:lang w:val="zh-CN"/>
        </w:rPr>
        <w:t xml:space="preserve">.3 </w:t>
      </w:r>
      <w:r>
        <w:rPr>
          <w:rFonts w:hint="eastAsia"/>
        </w:rPr>
        <w:t>建设项目环境影响报告书（表）及其审批部门审批决定</w:t>
      </w:r>
      <w:r>
        <w:tab/>
      </w:r>
      <w:r>
        <w:fldChar w:fldCharType="begin"/>
      </w:r>
      <w:r>
        <w:instrText xml:space="preserve"> PAGEREF _Toc3408 \h </w:instrText>
      </w:r>
      <w:r>
        <w:fldChar w:fldCharType="separate"/>
      </w:r>
      <w:r>
        <w:t>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_Toc9757 </w:instrText>
      </w:r>
      <w:r>
        <w:rPr>
          <w:highlight w:val="red"/>
        </w:rPr>
        <w:fldChar w:fldCharType="separate"/>
      </w:r>
      <w:r>
        <w:t>2.4 其他相关文件</w:t>
      </w:r>
      <w:r>
        <w:tab/>
      </w:r>
      <w:r>
        <w:fldChar w:fldCharType="begin"/>
      </w:r>
      <w:r>
        <w:instrText xml:space="preserve"> PAGEREF _Toc9757 \h </w:instrText>
      </w:r>
      <w:r>
        <w:fldChar w:fldCharType="separate"/>
      </w:r>
      <w:r>
        <w:t>3</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_Toc6533 </w:instrText>
      </w:r>
      <w:r>
        <w:rPr>
          <w:highlight w:val="red"/>
        </w:rPr>
        <w:fldChar w:fldCharType="separate"/>
      </w:r>
      <w:r>
        <w:t>第三章 工程建设情况</w:t>
      </w:r>
      <w:r>
        <w:tab/>
      </w:r>
      <w:r>
        <w:fldChar w:fldCharType="begin"/>
      </w:r>
      <w:r>
        <w:instrText xml:space="preserve"> PAGEREF _Toc6533 \h </w:instrText>
      </w:r>
      <w:r>
        <w:fldChar w:fldCharType="separate"/>
      </w:r>
      <w:r>
        <w:t>4</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_Toc5140 </w:instrText>
      </w:r>
      <w:r>
        <w:rPr>
          <w:highlight w:val="red"/>
        </w:rPr>
        <w:fldChar w:fldCharType="separate"/>
      </w:r>
      <w:r>
        <w:t>3.1地理位置及平面布置</w:t>
      </w:r>
      <w:r>
        <w:tab/>
      </w:r>
      <w:r>
        <w:fldChar w:fldCharType="begin"/>
      </w:r>
      <w:r>
        <w:instrText xml:space="preserve"> PAGEREF _Toc5140 \h </w:instrText>
      </w:r>
      <w:r>
        <w:fldChar w:fldCharType="separate"/>
      </w:r>
      <w:r>
        <w:t>4</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_Toc15235 </w:instrText>
      </w:r>
      <w:r>
        <w:rPr>
          <w:highlight w:val="red"/>
        </w:rPr>
        <w:fldChar w:fldCharType="separate"/>
      </w:r>
      <w:r>
        <w:t>3.2建设内容</w:t>
      </w:r>
      <w:r>
        <w:tab/>
      </w:r>
      <w:r>
        <w:fldChar w:fldCharType="begin"/>
      </w:r>
      <w:r>
        <w:instrText xml:space="preserve"> PAGEREF _Toc15235 \h </w:instrText>
      </w:r>
      <w:r>
        <w:fldChar w:fldCharType="separate"/>
      </w:r>
      <w:r>
        <w:t>8</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_Toc32656 </w:instrText>
      </w:r>
      <w:r>
        <w:rPr>
          <w:highlight w:val="red"/>
        </w:rPr>
        <w:fldChar w:fldCharType="separate"/>
      </w:r>
      <w:r>
        <w:t>3.3主要原辅材料及燃料</w:t>
      </w:r>
      <w:r>
        <w:tab/>
      </w:r>
      <w:r>
        <w:fldChar w:fldCharType="begin"/>
      </w:r>
      <w:r>
        <w:instrText xml:space="preserve"> PAGEREF _Toc32656 \h </w:instrText>
      </w:r>
      <w:r>
        <w:fldChar w:fldCharType="separate"/>
      </w:r>
      <w:r>
        <w:t>13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_Toc17735 </w:instrText>
      </w:r>
      <w:r>
        <w:rPr>
          <w:highlight w:val="red"/>
        </w:rPr>
        <w:fldChar w:fldCharType="separate"/>
      </w:r>
      <w:r>
        <w:t>3.4水源及水平衡</w:t>
      </w:r>
      <w:r>
        <w:tab/>
      </w:r>
      <w:r>
        <w:fldChar w:fldCharType="begin"/>
      </w:r>
      <w:r>
        <w:instrText xml:space="preserve"> PAGEREF _Toc17735 \h </w:instrText>
      </w:r>
      <w:r>
        <w:fldChar w:fldCharType="separate"/>
      </w:r>
      <w:r>
        <w:t>13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_Toc15290 </w:instrText>
      </w:r>
      <w:r>
        <w:rPr>
          <w:highlight w:val="red"/>
        </w:rPr>
        <w:fldChar w:fldCharType="separate"/>
      </w:r>
      <w:r>
        <w:t>3.5生产工艺</w:t>
      </w:r>
      <w:r>
        <w:tab/>
      </w:r>
      <w:r>
        <w:fldChar w:fldCharType="begin"/>
      </w:r>
      <w:r>
        <w:instrText xml:space="preserve"> PAGEREF _Toc15290 \h </w:instrText>
      </w:r>
      <w:r>
        <w:fldChar w:fldCharType="separate"/>
      </w:r>
      <w:r>
        <w:t>14</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_Toc18956 </w:instrText>
      </w:r>
      <w:r>
        <w:rPr>
          <w:highlight w:val="red"/>
        </w:rPr>
        <w:fldChar w:fldCharType="separate"/>
      </w:r>
      <w:r>
        <w:t>3.</w:t>
      </w:r>
      <w:r>
        <w:rPr>
          <w:lang w:val="zh-CN"/>
        </w:rPr>
        <w:t>6 项目变动情况</w:t>
      </w:r>
      <w:r>
        <w:tab/>
      </w:r>
      <w:r>
        <w:fldChar w:fldCharType="begin"/>
      </w:r>
      <w:r>
        <w:instrText xml:space="preserve"> PAGEREF _Toc18956 \h </w:instrText>
      </w:r>
      <w:r>
        <w:fldChar w:fldCharType="separate"/>
      </w:r>
      <w:r>
        <w:t>16</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_Toc12488 </w:instrText>
      </w:r>
      <w:r>
        <w:rPr>
          <w:highlight w:val="red"/>
        </w:rPr>
        <w:fldChar w:fldCharType="separate"/>
      </w:r>
      <w:r>
        <w:t>第四章 环境保护设施</w:t>
      </w:r>
      <w:r>
        <w:tab/>
      </w:r>
      <w:r>
        <w:fldChar w:fldCharType="begin"/>
      </w:r>
      <w:r>
        <w:instrText xml:space="preserve"> PAGEREF _Toc12488 \h </w:instrText>
      </w:r>
      <w:r>
        <w:fldChar w:fldCharType="separate"/>
      </w:r>
      <w:r>
        <w:t>19</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_Toc21356 </w:instrText>
      </w:r>
      <w:r>
        <w:rPr>
          <w:highlight w:val="red"/>
        </w:rPr>
        <w:fldChar w:fldCharType="separate"/>
      </w:r>
      <w:r>
        <w:t>4.1污染物治理</w:t>
      </w:r>
      <w:r>
        <w:rPr>
          <w:rFonts w:hint="eastAsia"/>
        </w:rPr>
        <w:t>/处置设施</w:t>
      </w:r>
      <w:r>
        <w:tab/>
      </w:r>
      <w:r>
        <w:fldChar w:fldCharType="begin"/>
      </w:r>
      <w:r>
        <w:instrText xml:space="preserve"> PAGEREF _Toc21356 \h </w:instrText>
      </w:r>
      <w:r>
        <w:fldChar w:fldCharType="separate"/>
      </w:r>
      <w:r>
        <w:t>19</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_Toc804 </w:instrText>
      </w:r>
      <w:r>
        <w:rPr>
          <w:highlight w:val="red"/>
        </w:rPr>
        <w:fldChar w:fldCharType="separate"/>
      </w:r>
      <w:r>
        <w:t>4.2其他环保设施</w:t>
      </w:r>
      <w:r>
        <w:tab/>
      </w:r>
      <w:r>
        <w:fldChar w:fldCharType="begin"/>
      </w:r>
      <w:r>
        <w:instrText xml:space="preserve"> PAGEREF _Toc804 \h </w:instrText>
      </w:r>
      <w:r>
        <w:fldChar w:fldCharType="separate"/>
      </w:r>
      <w:r>
        <w:t>23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_Toc6272 </w:instrText>
      </w:r>
      <w:r>
        <w:rPr>
          <w:highlight w:val="red"/>
        </w:rPr>
        <w:fldChar w:fldCharType="separate"/>
      </w:r>
      <w:r>
        <w:t>4.3 环保设施投资及</w:t>
      </w:r>
      <w:r>
        <w:rPr>
          <w:rFonts w:hint="eastAsia"/>
        </w:rPr>
        <w:t>“三同时”</w:t>
      </w:r>
      <w:r>
        <w:t>落实情况</w:t>
      </w:r>
      <w:r>
        <w:tab/>
      </w:r>
      <w:r>
        <w:fldChar w:fldCharType="begin"/>
      </w:r>
      <w:r>
        <w:instrText xml:space="preserve"> PAGEREF _Toc6272 \h </w:instrText>
      </w:r>
      <w:r>
        <w:fldChar w:fldCharType="separate"/>
      </w:r>
      <w:r>
        <w:t>24</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_Toc26770 </w:instrText>
      </w:r>
      <w:r>
        <w:rPr>
          <w:highlight w:val="red"/>
        </w:rPr>
        <w:fldChar w:fldCharType="separate"/>
      </w:r>
      <w:r>
        <w:rPr>
          <w:rFonts w:hint="eastAsia"/>
        </w:rPr>
        <w:t xml:space="preserve">第五章 </w:t>
      </w:r>
      <w:r>
        <w:t>建设项目环评报告表主要结论及审批部门审批决定</w:t>
      </w:r>
      <w:r>
        <w:tab/>
      </w:r>
      <w:r>
        <w:fldChar w:fldCharType="begin"/>
      </w:r>
      <w:r>
        <w:instrText xml:space="preserve"> PAGEREF _Toc26770 \h </w:instrText>
      </w:r>
      <w:r>
        <w:fldChar w:fldCharType="separate"/>
      </w:r>
      <w:r>
        <w:t>26</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_Toc3803 </w:instrText>
      </w:r>
      <w:r>
        <w:rPr>
          <w:highlight w:val="red"/>
        </w:rPr>
        <w:fldChar w:fldCharType="separate"/>
      </w:r>
      <w:r>
        <w:t>5.1建设项目环评报告表主要结论与建议（摘自环评报告表）</w:t>
      </w:r>
      <w:r>
        <w:tab/>
      </w:r>
      <w:r>
        <w:fldChar w:fldCharType="begin"/>
      </w:r>
      <w:r>
        <w:instrText xml:space="preserve"> PAGEREF _Toc3803 \h </w:instrText>
      </w:r>
      <w:r>
        <w:fldChar w:fldCharType="separate"/>
      </w:r>
      <w:r>
        <w:t>26</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_Toc17325 </w:instrText>
      </w:r>
      <w:r>
        <w:rPr>
          <w:highlight w:val="red"/>
        </w:rPr>
        <w:fldChar w:fldCharType="separate"/>
      </w:r>
      <w:r>
        <w:t>5.</w:t>
      </w:r>
      <w:r>
        <w:rPr>
          <w:rFonts w:hint="eastAsia"/>
        </w:rPr>
        <w:t>2</w:t>
      </w:r>
      <w:r>
        <w:t xml:space="preserve"> 审批部门审批决定（摘自环评批复）</w:t>
      </w:r>
      <w:r>
        <w:tab/>
      </w:r>
      <w:r>
        <w:fldChar w:fldCharType="begin"/>
      </w:r>
      <w:r>
        <w:instrText xml:space="preserve"> PAGEREF _Toc17325 \h </w:instrText>
      </w:r>
      <w:r>
        <w:fldChar w:fldCharType="separate"/>
      </w:r>
      <w:r>
        <w:t>29</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_Toc11425 </w:instrText>
      </w:r>
      <w:r>
        <w:rPr>
          <w:highlight w:val="red"/>
        </w:rPr>
        <w:fldChar w:fldCharType="separate"/>
      </w:r>
      <w:r>
        <w:t>第六章 验收执行标准</w:t>
      </w:r>
      <w:r>
        <w:tab/>
      </w:r>
      <w:r>
        <w:fldChar w:fldCharType="begin"/>
      </w:r>
      <w:r>
        <w:instrText xml:space="preserve"> PAGEREF _Toc11425 \h </w:instrText>
      </w:r>
      <w:r>
        <w:fldChar w:fldCharType="separate"/>
      </w:r>
      <w:r>
        <w:t>30</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_Toc8251 </w:instrText>
      </w:r>
      <w:r>
        <w:rPr>
          <w:highlight w:val="red"/>
        </w:rPr>
        <w:fldChar w:fldCharType="separate"/>
      </w:r>
      <w:r>
        <w:t>6.1污染物排放标准</w:t>
      </w:r>
      <w:r>
        <w:tab/>
      </w:r>
      <w:r>
        <w:fldChar w:fldCharType="begin"/>
      </w:r>
      <w:r>
        <w:instrText xml:space="preserve"> PAGEREF _Toc8251 \h </w:instrText>
      </w:r>
      <w:r>
        <w:fldChar w:fldCharType="separate"/>
      </w:r>
      <w:r>
        <w:t>30</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_Toc11265 </w:instrText>
      </w:r>
      <w:r>
        <w:rPr>
          <w:highlight w:val="red"/>
        </w:rPr>
        <w:fldChar w:fldCharType="separate"/>
      </w:r>
      <w:r>
        <w:rPr>
          <w:highlight w:val="none"/>
        </w:rPr>
        <w:t>6.2环境</w:t>
      </w:r>
      <w:r>
        <w:rPr>
          <w:rFonts w:hint="eastAsia"/>
          <w:highlight w:val="none"/>
        </w:rPr>
        <w:t>空气</w:t>
      </w:r>
      <w:r>
        <w:rPr>
          <w:highlight w:val="none"/>
        </w:rPr>
        <w:t>质量标准</w:t>
      </w:r>
      <w:r>
        <w:tab/>
      </w:r>
      <w:r>
        <w:fldChar w:fldCharType="begin"/>
      </w:r>
      <w:r>
        <w:instrText xml:space="preserve"> PAGEREF _Toc11265 \h </w:instrText>
      </w:r>
      <w:r>
        <w:fldChar w:fldCharType="separate"/>
      </w:r>
      <w:r>
        <w:t>32</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_Toc16160 </w:instrText>
      </w:r>
      <w:r>
        <w:rPr>
          <w:highlight w:val="red"/>
        </w:rPr>
        <w:fldChar w:fldCharType="separate"/>
      </w:r>
      <w:r>
        <w:t>6.3污染物总量控制标准</w:t>
      </w:r>
      <w:r>
        <w:tab/>
      </w:r>
      <w:r>
        <w:fldChar w:fldCharType="begin"/>
      </w:r>
      <w:r>
        <w:instrText xml:space="preserve"> PAGEREF _Toc16160 \h </w:instrText>
      </w:r>
      <w:r>
        <w:fldChar w:fldCharType="separate"/>
      </w:r>
      <w:r>
        <w:t>32</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_Toc25567 </w:instrText>
      </w:r>
      <w:r>
        <w:rPr>
          <w:highlight w:val="red"/>
        </w:rPr>
        <w:fldChar w:fldCharType="separate"/>
      </w:r>
      <w:r>
        <w:t>第七章 验收监测内容</w:t>
      </w:r>
      <w:r>
        <w:tab/>
      </w:r>
      <w:r>
        <w:fldChar w:fldCharType="begin"/>
      </w:r>
      <w:r>
        <w:instrText xml:space="preserve"> PAGEREF _Toc25567 \h </w:instrText>
      </w:r>
      <w:r>
        <w:fldChar w:fldCharType="separate"/>
      </w:r>
      <w:r>
        <w:t>33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_Toc5887 </w:instrText>
      </w:r>
      <w:r>
        <w:rPr>
          <w:highlight w:val="red"/>
        </w:rPr>
        <w:fldChar w:fldCharType="separate"/>
      </w:r>
      <w:r>
        <w:t>7.1环境保护设施调试效果</w:t>
      </w:r>
      <w:r>
        <w:tab/>
      </w:r>
      <w:r>
        <w:fldChar w:fldCharType="begin"/>
      </w:r>
      <w:r>
        <w:instrText xml:space="preserve"> PAGEREF _Toc5887 \h </w:instrText>
      </w:r>
      <w:r>
        <w:fldChar w:fldCharType="separate"/>
      </w:r>
      <w:r>
        <w:t>33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_Toc9843 </w:instrText>
      </w:r>
      <w:r>
        <w:rPr>
          <w:highlight w:val="red"/>
        </w:rPr>
        <w:fldChar w:fldCharType="separate"/>
      </w:r>
      <w:r>
        <w:t>7.2环境质量监测</w:t>
      </w:r>
      <w:r>
        <w:tab/>
      </w:r>
      <w:r>
        <w:fldChar w:fldCharType="begin"/>
      </w:r>
      <w:r>
        <w:instrText xml:space="preserve"> PAGEREF _Toc9843 \h </w:instrText>
      </w:r>
      <w:r>
        <w:fldChar w:fldCharType="separate"/>
      </w:r>
      <w:r>
        <w:t>34</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_Toc5834 </w:instrText>
      </w:r>
      <w:r>
        <w:rPr>
          <w:highlight w:val="red"/>
        </w:rPr>
        <w:fldChar w:fldCharType="separate"/>
      </w:r>
      <w:r>
        <w:t>第八章 质量保证及质量控制</w:t>
      </w:r>
      <w:r>
        <w:tab/>
      </w:r>
      <w:r>
        <w:fldChar w:fldCharType="begin"/>
      </w:r>
      <w:r>
        <w:instrText xml:space="preserve"> PAGEREF _Toc5834 \h </w:instrText>
      </w:r>
      <w:r>
        <w:fldChar w:fldCharType="separate"/>
      </w:r>
      <w:r>
        <w:t>35</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_Toc24095 </w:instrText>
      </w:r>
      <w:r>
        <w:rPr>
          <w:highlight w:val="red"/>
        </w:rPr>
        <w:fldChar w:fldCharType="separate"/>
      </w:r>
      <w:r>
        <w:t>8.1监测分析方法</w:t>
      </w:r>
      <w:r>
        <w:tab/>
      </w:r>
      <w:r>
        <w:fldChar w:fldCharType="begin"/>
      </w:r>
      <w:r>
        <w:instrText xml:space="preserve"> PAGEREF _Toc24095 \h </w:instrText>
      </w:r>
      <w:r>
        <w:fldChar w:fldCharType="separate"/>
      </w:r>
      <w:r>
        <w:t>35</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_Toc8644 </w:instrText>
      </w:r>
      <w:r>
        <w:rPr>
          <w:highlight w:val="red"/>
        </w:rPr>
        <w:fldChar w:fldCharType="separate"/>
      </w:r>
      <w:r>
        <w:t>8.2监测仪器</w:t>
      </w:r>
      <w:r>
        <w:tab/>
      </w:r>
      <w:r>
        <w:fldChar w:fldCharType="begin"/>
      </w:r>
      <w:r>
        <w:instrText xml:space="preserve"> PAGEREF _Toc8644 \h </w:instrText>
      </w:r>
      <w:r>
        <w:fldChar w:fldCharType="separate"/>
      </w:r>
      <w:r>
        <w:t>36</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_Toc8661 </w:instrText>
      </w:r>
      <w:r>
        <w:rPr>
          <w:highlight w:val="red"/>
        </w:rPr>
        <w:fldChar w:fldCharType="separate"/>
      </w:r>
      <w:r>
        <w:t>8.3人员</w:t>
      </w:r>
      <w:r>
        <w:rPr>
          <w:rFonts w:hint="eastAsia"/>
        </w:rPr>
        <w:t>能力</w:t>
      </w:r>
      <w:r>
        <w:tab/>
      </w:r>
      <w:r>
        <w:fldChar w:fldCharType="begin"/>
      </w:r>
      <w:r>
        <w:instrText xml:space="preserve"> PAGEREF _Toc8661 \h </w:instrText>
      </w:r>
      <w:r>
        <w:fldChar w:fldCharType="separate"/>
      </w:r>
      <w:r>
        <w:t>37</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_Toc14547 </w:instrText>
      </w:r>
      <w:r>
        <w:rPr>
          <w:highlight w:val="red"/>
        </w:rPr>
        <w:fldChar w:fldCharType="separate"/>
      </w:r>
      <w:r>
        <w:t>8.</w:t>
      </w:r>
      <w:r>
        <w:rPr>
          <w:rFonts w:hint="eastAsia"/>
        </w:rPr>
        <w:t>4水质监测分析过程中的质量保证和质量控制</w:t>
      </w:r>
      <w:r>
        <w:tab/>
      </w:r>
      <w:r>
        <w:fldChar w:fldCharType="begin"/>
      </w:r>
      <w:r>
        <w:instrText xml:space="preserve"> PAGEREF _Toc14547 \h </w:instrText>
      </w:r>
      <w:r>
        <w:fldChar w:fldCharType="separate"/>
      </w:r>
      <w:r>
        <w:t>37</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_Toc1468 </w:instrText>
      </w:r>
      <w:r>
        <w:rPr>
          <w:highlight w:val="red"/>
        </w:rPr>
        <w:fldChar w:fldCharType="separate"/>
      </w:r>
      <w:r>
        <w:rPr>
          <w:rFonts w:hint="eastAsia"/>
        </w:rPr>
        <w:t>8.5</w:t>
      </w:r>
      <w:r>
        <w:t>气体监测分析过程中的质量保证和质量控制</w:t>
      </w:r>
      <w:r>
        <w:tab/>
      </w:r>
      <w:r>
        <w:fldChar w:fldCharType="begin"/>
      </w:r>
      <w:r>
        <w:instrText xml:space="preserve"> PAGEREF _Toc1468 \h </w:instrText>
      </w:r>
      <w:r>
        <w:fldChar w:fldCharType="separate"/>
      </w:r>
      <w:r>
        <w:t>39</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_Toc8969 </w:instrText>
      </w:r>
      <w:r>
        <w:rPr>
          <w:highlight w:val="red"/>
        </w:rPr>
        <w:fldChar w:fldCharType="separate"/>
      </w:r>
      <w:r>
        <w:t>8.6噪声监测分析过程中的质量保证和质量控制</w:t>
      </w:r>
      <w:r>
        <w:tab/>
      </w:r>
      <w:r>
        <w:fldChar w:fldCharType="begin"/>
      </w:r>
      <w:r>
        <w:instrText xml:space="preserve"> PAGEREF _Toc8969 \h </w:instrText>
      </w:r>
      <w:r>
        <w:fldChar w:fldCharType="separate"/>
      </w:r>
      <w:r>
        <w:t>42</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_Toc20986 </w:instrText>
      </w:r>
      <w:r>
        <w:rPr>
          <w:highlight w:val="red"/>
        </w:rPr>
        <w:fldChar w:fldCharType="separate"/>
      </w:r>
      <w:r>
        <w:t>第九章 验收监测结果</w:t>
      </w:r>
      <w:r>
        <w:tab/>
      </w:r>
      <w:r>
        <w:fldChar w:fldCharType="begin"/>
      </w:r>
      <w:r>
        <w:instrText xml:space="preserve"> PAGEREF _Toc20986 \h </w:instrText>
      </w:r>
      <w:r>
        <w:fldChar w:fldCharType="separate"/>
      </w:r>
      <w:r>
        <w:t>44</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_Toc14286 </w:instrText>
      </w:r>
      <w:r>
        <w:rPr>
          <w:highlight w:val="red"/>
        </w:rPr>
        <w:fldChar w:fldCharType="separate"/>
      </w:r>
      <w:r>
        <w:t>9.1生产工况</w:t>
      </w:r>
      <w:r>
        <w:tab/>
      </w:r>
      <w:r>
        <w:fldChar w:fldCharType="begin"/>
      </w:r>
      <w:r>
        <w:instrText xml:space="preserve"> PAGEREF _Toc14286 \h </w:instrText>
      </w:r>
      <w:r>
        <w:fldChar w:fldCharType="separate"/>
      </w:r>
      <w:r>
        <w:t>44</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_Toc22731 </w:instrText>
      </w:r>
      <w:r>
        <w:rPr>
          <w:highlight w:val="red"/>
        </w:rPr>
        <w:fldChar w:fldCharType="separate"/>
      </w:r>
      <w:r>
        <w:t>9.2保护设施调试运行效果</w:t>
      </w:r>
      <w:r>
        <w:tab/>
      </w:r>
      <w:r>
        <w:fldChar w:fldCharType="begin"/>
      </w:r>
      <w:r>
        <w:instrText xml:space="preserve"> PAGEREF _Toc22731 \h </w:instrText>
      </w:r>
      <w:r>
        <w:fldChar w:fldCharType="separate"/>
      </w:r>
      <w:r>
        <w:t>44</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_Toc16153 </w:instrText>
      </w:r>
      <w:r>
        <w:rPr>
          <w:highlight w:val="red"/>
        </w:rPr>
        <w:fldChar w:fldCharType="separate"/>
      </w:r>
      <w:r>
        <w:rPr>
          <w:highlight w:val="none"/>
        </w:rPr>
        <w:t>9.3</w:t>
      </w:r>
      <w:r>
        <w:rPr>
          <w:rFonts w:hint="eastAsia"/>
          <w:highlight w:val="none"/>
        </w:rPr>
        <w:t>工程</w:t>
      </w:r>
      <w:r>
        <w:rPr>
          <w:highlight w:val="none"/>
        </w:rPr>
        <w:t>建设对环境的影响</w:t>
      </w:r>
      <w:r>
        <w:tab/>
      </w:r>
      <w:r>
        <w:fldChar w:fldCharType="begin"/>
      </w:r>
      <w:r>
        <w:instrText xml:space="preserve"> PAGEREF _Toc16153 \h </w:instrText>
      </w:r>
      <w:r>
        <w:fldChar w:fldCharType="separate"/>
      </w:r>
      <w:r>
        <w:t>59</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_Toc11852 </w:instrText>
      </w:r>
      <w:r>
        <w:rPr>
          <w:highlight w:val="red"/>
        </w:rPr>
        <w:fldChar w:fldCharType="separate"/>
      </w:r>
      <w:r>
        <w:t>第十章 环评批复落实情况</w:t>
      </w:r>
      <w:r>
        <w:tab/>
      </w:r>
      <w:r>
        <w:fldChar w:fldCharType="begin"/>
      </w:r>
      <w:r>
        <w:instrText xml:space="preserve"> PAGEREF _Toc11852 \h </w:instrText>
      </w:r>
      <w:r>
        <w:fldChar w:fldCharType="separate"/>
      </w:r>
      <w:r>
        <w:t>62</w:t>
      </w:r>
      <w:r>
        <w:fldChar w:fldCharType="end"/>
      </w:r>
      <w:r>
        <w:rPr>
          <w:highlight w:val="red"/>
        </w:rPr>
        <w:fldChar w:fldCharType="end"/>
      </w:r>
    </w:p>
    <w:p>
      <w:pPr>
        <w:pStyle w:val="26"/>
        <w:tabs>
          <w:tab w:val="right" w:leader="dot" w:pos="8901"/>
        </w:tabs>
      </w:pPr>
      <w:r>
        <w:rPr>
          <w:highlight w:val="red"/>
        </w:rPr>
        <w:fldChar w:fldCharType="begin"/>
      </w:r>
      <w:r>
        <w:rPr>
          <w:highlight w:val="red"/>
        </w:rPr>
        <w:instrText xml:space="preserve"> HYPERLINK \l _Toc16526 </w:instrText>
      </w:r>
      <w:r>
        <w:rPr>
          <w:highlight w:val="red"/>
        </w:rPr>
        <w:fldChar w:fldCharType="separate"/>
      </w:r>
      <w:r>
        <w:t>第十一章 验收监测结论</w:t>
      </w:r>
      <w:r>
        <w:tab/>
      </w:r>
      <w:r>
        <w:fldChar w:fldCharType="begin"/>
      </w:r>
      <w:r>
        <w:instrText xml:space="preserve"> PAGEREF _Toc16526 \h </w:instrText>
      </w:r>
      <w:r>
        <w:fldChar w:fldCharType="separate"/>
      </w:r>
      <w:r>
        <w:t>66</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_Toc22436 </w:instrText>
      </w:r>
      <w:r>
        <w:rPr>
          <w:highlight w:val="red"/>
        </w:rPr>
        <w:fldChar w:fldCharType="separate"/>
      </w:r>
      <w:r>
        <w:t>11.1环保设施</w:t>
      </w:r>
      <w:r>
        <w:rPr>
          <w:rFonts w:hint="eastAsia"/>
        </w:rPr>
        <w:t>运行</w:t>
      </w:r>
      <w:r>
        <w:t>调试效果</w:t>
      </w:r>
      <w:r>
        <w:tab/>
      </w:r>
      <w:r>
        <w:fldChar w:fldCharType="begin"/>
      </w:r>
      <w:r>
        <w:instrText xml:space="preserve"> PAGEREF _Toc22436 \h </w:instrText>
      </w:r>
      <w:r>
        <w:fldChar w:fldCharType="separate"/>
      </w:r>
      <w:r>
        <w:t>66</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_Toc8324 </w:instrText>
      </w:r>
      <w:r>
        <w:rPr>
          <w:highlight w:val="red"/>
        </w:rPr>
        <w:fldChar w:fldCharType="separate"/>
      </w:r>
      <w:r>
        <w:rPr>
          <w:highlight w:val="none"/>
        </w:rPr>
        <w:t>11.2工程建设对环境的影响</w:t>
      </w:r>
      <w:r>
        <w:tab/>
      </w:r>
      <w:r>
        <w:fldChar w:fldCharType="begin"/>
      </w:r>
      <w:r>
        <w:instrText xml:space="preserve"> PAGEREF _Toc8324 \h </w:instrText>
      </w:r>
      <w:r>
        <w:fldChar w:fldCharType="separate"/>
      </w:r>
      <w:r>
        <w:t>67</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_Toc29807 </w:instrText>
      </w:r>
      <w:r>
        <w:rPr>
          <w:highlight w:val="red"/>
        </w:rPr>
        <w:fldChar w:fldCharType="separate"/>
      </w:r>
      <w:r>
        <w:t>11.3验收结论</w:t>
      </w:r>
      <w:r>
        <w:tab/>
      </w:r>
      <w:r>
        <w:fldChar w:fldCharType="begin"/>
      </w:r>
      <w:r>
        <w:instrText xml:space="preserve"> PAGEREF _Toc29807 \h </w:instrText>
      </w:r>
      <w:r>
        <w:fldChar w:fldCharType="separate"/>
      </w:r>
      <w:r>
        <w:t>67</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_Toc8763 </w:instrText>
      </w:r>
      <w:r>
        <w:rPr>
          <w:highlight w:val="red"/>
        </w:rPr>
        <w:fldChar w:fldCharType="separate"/>
      </w:r>
      <w:r>
        <w:t>附件1 营业执照</w:t>
      </w:r>
      <w:r>
        <w:tab/>
      </w:r>
      <w:r>
        <w:fldChar w:fldCharType="begin"/>
      </w:r>
      <w:r>
        <w:instrText xml:space="preserve"> PAGEREF _Toc8763 \h </w:instrText>
      </w:r>
      <w:r>
        <w:fldChar w:fldCharType="separate"/>
      </w:r>
      <w:r>
        <w:t>70</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_Toc15518 </w:instrText>
      </w:r>
      <w:r>
        <w:rPr>
          <w:highlight w:val="red"/>
        </w:rPr>
        <w:fldChar w:fldCharType="separate"/>
      </w:r>
      <w:r>
        <w:t>附件2 环评批复</w:t>
      </w:r>
      <w:r>
        <w:tab/>
      </w:r>
      <w:r>
        <w:fldChar w:fldCharType="begin"/>
      </w:r>
      <w:r>
        <w:instrText xml:space="preserve"> PAGEREF _Toc15518 \h </w:instrText>
      </w:r>
      <w:r>
        <w:fldChar w:fldCharType="separate"/>
      </w:r>
      <w:r>
        <w:t>71</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_Toc24783 </w:instrText>
      </w:r>
      <w:r>
        <w:rPr>
          <w:highlight w:val="red"/>
        </w:rPr>
        <w:fldChar w:fldCharType="separate"/>
      </w:r>
      <w:r>
        <w:t>附件</w:t>
      </w:r>
      <w:r>
        <w:rPr>
          <w:rFonts w:hint="eastAsia"/>
        </w:rPr>
        <w:t>3</w:t>
      </w:r>
      <w:r>
        <w:t xml:space="preserve"> 危废处置协议</w:t>
      </w:r>
      <w:r>
        <w:tab/>
      </w:r>
      <w:r>
        <w:fldChar w:fldCharType="begin"/>
      </w:r>
      <w:r>
        <w:instrText xml:space="preserve"> PAGEREF _Toc24783 \h </w:instrText>
      </w:r>
      <w:r>
        <w:fldChar w:fldCharType="separate"/>
      </w:r>
      <w:r>
        <w:t>76</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_Toc15905 </w:instrText>
      </w:r>
      <w:r>
        <w:rPr>
          <w:highlight w:val="red"/>
        </w:rPr>
        <w:fldChar w:fldCharType="separate"/>
      </w:r>
      <w:r>
        <w:t>附件</w:t>
      </w:r>
      <w:r>
        <w:rPr>
          <w:rFonts w:hint="eastAsia"/>
        </w:rPr>
        <w:t>4</w:t>
      </w:r>
      <w:r>
        <w:t xml:space="preserve"> 工况证明文件</w:t>
      </w:r>
      <w:r>
        <w:tab/>
      </w:r>
      <w:r>
        <w:fldChar w:fldCharType="begin"/>
      </w:r>
      <w:r>
        <w:instrText xml:space="preserve"> PAGEREF _Toc15905 \h </w:instrText>
      </w:r>
      <w:r>
        <w:fldChar w:fldCharType="separate"/>
      </w:r>
      <w:r>
        <w:t>80</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_Toc7334 </w:instrText>
      </w:r>
      <w:r>
        <w:rPr>
          <w:highlight w:val="red"/>
        </w:rPr>
        <w:fldChar w:fldCharType="separate"/>
      </w:r>
      <w:r>
        <w:t>附件</w:t>
      </w:r>
      <w:r>
        <w:rPr>
          <w:rFonts w:hint="eastAsia"/>
        </w:rPr>
        <w:t>5</w:t>
      </w:r>
      <w:r>
        <w:t xml:space="preserve"> 突发环境事件应急预案备案表</w:t>
      </w:r>
      <w:r>
        <w:tab/>
      </w:r>
      <w:r>
        <w:fldChar w:fldCharType="begin"/>
      </w:r>
      <w:r>
        <w:instrText xml:space="preserve"> PAGEREF _Toc7334 \h </w:instrText>
      </w:r>
      <w:r>
        <w:fldChar w:fldCharType="separate"/>
      </w:r>
      <w:r>
        <w:t>81</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_Toc24857 </w:instrText>
      </w:r>
      <w:r>
        <w:rPr>
          <w:highlight w:val="red"/>
        </w:rPr>
        <w:fldChar w:fldCharType="separate"/>
      </w:r>
      <w:r>
        <w:t>附件</w:t>
      </w:r>
      <w:r>
        <w:rPr>
          <w:rFonts w:hint="eastAsia"/>
        </w:rPr>
        <w:t>6</w:t>
      </w:r>
      <w:r>
        <w:t xml:space="preserve"> 排污许可证</w:t>
      </w:r>
      <w:r>
        <w:tab/>
      </w:r>
      <w:r>
        <w:fldChar w:fldCharType="begin"/>
      </w:r>
      <w:r>
        <w:instrText xml:space="preserve"> PAGEREF _Toc24857 \h </w:instrText>
      </w:r>
      <w:r>
        <w:fldChar w:fldCharType="separate"/>
      </w:r>
      <w:r>
        <w:t>82</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_Toc26987 </w:instrText>
      </w:r>
      <w:r>
        <w:rPr>
          <w:highlight w:val="red"/>
        </w:rPr>
        <w:fldChar w:fldCharType="separate"/>
      </w:r>
      <w:r>
        <w:t>附件</w:t>
      </w:r>
      <w:r>
        <w:rPr>
          <w:rFonts w:hint="eastAsia"/>
        </w:rPr>
        <w:t>7</w:t>
      </w:r>
      <w:r>
        <w:t xml:space="preserve"> 总量确认书</w:t>
      </w:r>
      <w:r>
        <w:tab/>
      </w:r>
      <w:r>
        <w:fldChar w:fldCharType="begin"/>
      </w:r>
      <w:r>
        <w:instrText xml:space="preserve"> PAGEREF _Toc26987 \h </w:instrText>
      </w:r>
      <w:r>
        <w:fldChar w:fldCharType="separate"/>
      </w:r>
      <w:r>
        <w:t>83</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_Toc11877 </w:instrText>
      </w:r>
      <w:r>
        <w:rPr>
          <w:highlight w:val="red"/>
        </w:rPr>
        <w:fldChar w:fldCharType="separate"/>
      </w:r>
      <w:r>
        <w:t>附件</w:t>
      </w:r>
      <w:r>
        <w:rPr>
          <w:rFonts w:hint="eastAsia"/>
        </w:rPr>
        <w:t>8</w:t>
      </w:r>
      <w:r>
        <w:t xml:space="preserve"> 验收检测方案</w:t>
      </w:r>
      <w:r>
        <w:tab/>
      </w:r>
      <w:r>
        <w:fldChar w:fldCharType="begin"/>
      </w:r>
      <w:r>
        <w:instrText xml:space="preserve"> PAGEREF _Toc11877 \h </w:instrText>
      </w:r>
      <w:r>
        <w:fldChar w:fldCharType="separate"/>
      </w:r>
      <w:r>
        <w:t>89</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_Toc26842 </w:instrText>
      </w:r>
      <w:r>
        <w:rPr>
          <w:highlight w:val="red"/>
        </w:rPr>
        <w:fldChar w:fldCharType="separate"/>
      </w:r>
      <w:r>
        <w:t>附件</w:t>
      </w:r>
      <w:r>
        <w:rPr>
          <w:rFonts w:hint="eastAsia"/>
        </w:rPr>
        <w:t>9</w:t>
      </w:r>
      <w:r>
        <w:t xml:space="preserve"> 验收检测报告</w:t>
      </w:r>
      <w:r>
        <w:tab/>
      </w:r>
      <w:r>
        <w:fldChar w:fldCharType="begin"/>
      </w:r>
      <w:r>
        <w:instrText xml:space="preserve"> PAGEREF _Toc26842 \h </w:instrText>
      </w:r>
      <w:r>
        <w:fldChar w:fldCharType="separate"/>
      </w:r>
      <w:r>
        <w:t>91</w:t>
      </w:r>
      <w:r>
        <w:fldChar w:fldCharType="end"/>
      </w:r>
      <w:r>
        <w:rPr>
          <w:highlight w:val="red"/>
        </w:rPr>
        <w:fldChar w:fldCharType="end"/>
      </w:r>
    </w:p>
    <w:p>
      <w:pPr>
        <w:pStyle w:val="30"/>
        <w:tabs>
          <w:tab w:val="right" w:leader="dot" w:pos="8901"/>
        </w:tabs>
      </w:pPr>
      <w:r>
        <w:rPr>
          <w:highlight w:val="red"/>
        </w:rPr>
        <w:fldChar w:fldCharType="begin"/>
      </w:r>
      <w:r>
        <w:rPr>
          <w:highlight w:val="red"/>
        </w:rPr>
        <w:instrText xml:space="preserve"> HYPERLINK \l _Toc29634 </w:instrText>
      </w:r>
      <w:r>
        <w:rPr>
          <w:highlight w:val="red"/>
        </w:rPr>
        <w:fldChar w:fldCharType="separate"/>
      </w:r>
      <w:r>
        <w:t>附件1</w:t>
      </w:r>
      <w:r>
        <w:rPr>
          <w:rFonts w:hint="eastAsia"/>
        </w:rPr>
        <w:t>0</w:t>
      </w:r>
      <w:r>
        <w:t xml:space="preserve"> 验收意见及验收工作组签字表</w:t>
      </w:r>
      <w:r>
        <w:tab/>
      </w:r>
      <w:r>
        <w:fldChar w:fldCharType="begin"/>
      </w:r>
      <w:r>
        <w:instrText xml:space="preserve"> PAGEREF _Toc29634 \h </w:instrText>
      </w:r>
      <w:r>
        <w:fldChar w:fldCharType="separate"/>
      </w:r>
      <w:r>
        <w:t>125</w:t>
      </w:r>
      <w:r>
        <w:fldChar w:fldCharType="end"/>
      </w:r>
      <w:r>
        <w:rPr>
          <w:highlight w:val="red"/>
        </w:rPr>
        <w:fldChar w:fldCharType="end"/>
      </w:r>
    </w:p>
    <w:p>
      <w:pPr>
        <w:pStyle w:val="30"/>
        <w:tabs>
          <w:tab w:val="right" w:leader="dot" w:pos="8901"/>
        </w:tabs>
      </w:pPr>
    </w:p>
    <w:p>
      <w:pPr>
        <w:ind w:firstLine="480"/>
        <w:rPr>
          <w:highlight w:val="red"/>
        </w:rPr>
        <w:sectPr>
          <w:headerReference r:id="rId7" w:type="default"/>
          <w:footerReference r:id="rId8" w:type="default"/>
          <w:pgSz w:w="11905" w:h="16838"/>
          <w:pgMar w:top="1247" w:right="1417" w:bottom="1247" w:left="1587" w:header="624" w:footer="680" w:gutter="0"/>
          <w:pgNumType w:fmt="upperRoman" w:start="1"/>
          <w:cols w:space="720" w:num="1"/>
          <w:docGrid w:type="lines" w:linePitch="326" w:charSpace="0"/>
        </w:sectPr>
      </w:pPr>
      <w:r>
        <w:rPr>
          <w:highlight w:val="red"/>
        </w:rPr>
        <w:fldChar w:fldCharType="end"/>
      </w:r>
    </w:p>
    <w:p>
      <w:pPr>
        <w:pStyle w:val="3"/>
      </w:pPr>
      <w:bookmarkStart w:id="67" w:name="_Toc21006"/>
      <w:bookmarkStart w:id="68" w:name="_Toc30984"/>
      <w:bookmarkStart w:id="69" w:name="_Toc19653"/>
      <w:r>
        <w:t>第一章 验收项目概况</w:t>
      </w:r>
      <w:bookmarkEnd w:id="1"/>
      <w:bookmarkEnd w:id="2"/>
      <w:bookmarkEnd w:id="67"/>
      <w:bookmarkEnd w:id="68"/>
      <w:bookmarkEnd w:id="69"/>
    </w:p>
    <w:p>
      <w:pPr>
        <w:pStyle w:val="4"/>
      </w:pPr>
      <w:bookmarkStart w:id="70" w:name="_Toc24314"/>
      <w:bookmarkStart w:id="71" w:name="_Toc20364_WPSOffice_Level2"/>
      <w:bookmarkStart w:id="72" w:name="_Toc14593"/>
      <w:bookmarkStart w:id="73" w:name="_Toc12803"/>
      <w:bookmarkStart w:id="74" w:name="_Toc3705"/>
      <w:bookmarkStart w:id="75" w:name="_Toc8796_WPSOffice_Level2"/>
      <w:bookmarkStart w:id="76" w:name="_Toc18228"/>
      <w:bookmarkStart w:id="77" w:name="_Toc508787692"/>
      <w:bookmarkStart w:id="78" w:name="_Toc19921"/>
      <w:bookmarkStart w:id="79" w:name="_Toc28567"/>
      <w:bookmarkStart w:id="80" w:name="_Toc10176"/>
      <w:bookmarkStart w:id="81" w:name="_Toc405546958"/>
      <w:bookmarkStart w:id="82" w:name="_Toc20581_WPSOffice_Level2"/>
      <w:bookmarkStart w:id="83" w:name="_Toc8381_WPSOffice_Level2"/>
      <w:bookmarkStart w:id="84" w:name="_Toc3733"/>
      <w:bookmarkStart w:id="85" w:name="_Toc29753"/>
      <w:bookmarkStart w:id="86" w:name="_Toc1669"/>
      <w:bookmarkStart w:id="87" w:name="_Toc24003"/>
      <w:bookmarkStart w:id="88" w:name="_Toc23667"/>
      <w:bookmarkStart w:id="89" w:name="_Toc25180"/>
      <w:bookmarkStart w:id="90" w:name="_Toc15462"/>
      <w:bookmarkStart w:id="91" w:name="_Toc18324_WPSOffice_Level2"/>
      <w:bookmarkStart w:id="92" w:name="_Toc17260"/>
      <w:bookmarkStart w:id="93" w:name="_Toc23078"/>
      <w:bookmarkStart w:id="94" w:name="_Toc17334"/>
      <w:bookmarkStart w:id="95" w:name="_Toc26078"/>
      <w:bookmarkStart w:id="96" w:name="_Toc3958"/>
      <w:bookmarkStart w:id="97" w:name="_Toc9848"/>
      <w:bookmarkStart w:id="98" w:name="_Toc338659411"/>
      <w:bookmarkStart w:id="99" w:name="_Toc329086242"/>
      <w:r>
        <w:t>1.1项目</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概况</w:t>
      </w:r>
      <w:bookmarkEnd w:id="91"/>
      <w:bookmarkEnd w:id="92"/>
      <w:bookmarkEnd w:id="93"/>
      <w:bookmarkEnd w:id="94"/>
      <w:bookmarkEnd w:id="95"/>
      <w:bookmarkEnd w:id="96"/>
      <w:bookmarkEnd w:id="97"/>
    </w:p>
    <w:p>
      <w:pPr>
        <w:ind w:firstLine="480"/>
        <w:rPr>
          <w:color w:val="0000FF"/>
          <w:highlight w:val="red"/>
        </w:rPr>
      </w:pPr>
      <w:r>
        <w:rPr>
          <w:rFonts w:hint="eastAsia"/>
        </w:rPr>
        <w:t>山东德勤智能设备有限公司</w:t>
      </w:r>
      <w:r>
        <w:t>位于</w:t>
      </w:r>
      <w:r>
        <w:rPr>
          <w:rFonts w:hint="eastAsia"/>
        </w:rPr>
        <w:t>枣庄市峄城区吴林街道吴林大埝园</w:t>
      </w:r>
      <w:r>
        <w:t>，厂区总占地面积</w:t>
      </w:r>
      <w:r>
        <w:rPr>
          <w:rFonts w:hint="eastAsia"/>
        </w:rPr>
        <w:t>7761</w:t>
      </w:r>
      <w:r>
        <w:t>m</w:t>
      </w:r>
      <w:r>
        <w:rPr>
          <w:vertAlign w:val="superscript"/>
        </w:rPr>
        <w:t>2</w:t>
      </w:r>
      <w:r>
        <w:t>，职工人数</w:t>
      </w:r>
      <w:r>
        <w:rPr>
          <w:rFonts w:hint="eastAsia"/>
        </w:rPr>
        <w:t>36</w:t>
      </w:r>
      <w:r>
        <w:t>人，环评概算总投资</w:t>
      </w:r>
      <w:r>
        <w:rPr>
          <w:rFonts w:hint="eastAsia"/>
        </w:rPr>
        <w:t>4500万元，其中环保投资100万元。实际</w:t>
      </w:r>
      <w:r>
        <w:t>总投资</w:t>
      </w:r>
      <w:r>
        <w:rPr>
          <w:rFonts w:hint="eastAsia"/>
        </w:rPr>
        <w:t>4386.3</w:t>
      </w:r>
      <w:r>
        <w:t>万元</w:t>
      </w:r>
      <w:r>
        <w:rPr>
          <w:rFonts w:hint="eastAsia"/>
        </w:rPr>
        <w:t>，环保投资98.8万元，</w:t>
      </w:r>
      <w:r>
        <w:rPr>
          <w:kern w:val="0"/>
        </w:rPr>
        <w:t>开展</w:t>
      </w:r>
      <w:r>
        <w:rPr>
          <w:rFonts w:hint="eastAsia"/>
          <w:kern w:val="0"/>
        </w:rPr>
        <w:t>智能木业机械设备制造</w:t>
      </w:r>
      <w:r>
        <w:rPr>
          <w:kern w:val="0"/>
        </w:rPr>
        <w:t>项目</w:t>
      </w:r>
      <w:r>
        <w:t>。</w:t>
      </w:r>
    </w:p>
    <w:p>
      <w:pPr>
        <w:ind w:firstLine="480"/>
      </w:pPr>
      <w:r>
        <w:t>根据《中华人民共和国环境影响评价法》、《建设项目环境保护管理条例》以及《建设项目环境影响评价分类管理目录》等有关规定，202</w:t>
      </w:r>
      <w:r>
        <w:rPr>
          <w:rFonts w:hint="eastAsia"/>
        </w:rPr>
        <w:t>2</w:t>
      </w:r>
      <w:r>
        <w:t>年</w:t>
      </w:r>
      <w:r>
        <w:rPr>
          <w:rFonts w:hint="eastAsia"/>
        </w:rPr>
        <w:t>3</w:t>
      </w:r>
      <w:r>
        <w:t>月，</w:t>
      </w:r>
      <w:r>
        <w:rPr>
          <w:rFonts w:hint="eastAsia"/>
        </w:rPr>
        <w:t>山东德勤智能设备有限公司</w:t>
      </w:r>
      <w:r>
        <w:t>委托</w:t>
      </w:r>
      <w:r>
        <w:rPr>
          <w:rFonts w:hint="eastAsia"/>
        </w:rPr>
        <w:t>山东益源环保科技有限公司</w:t>
      </w:r>
      <w:r>
        <w:t>编制《</w:t>
      </w:r>
      <w:r>
        <w:rPr>
          <w:rFonts w:hint="eastAsia"/>
        </w:rPr>
        <w:t>山东德勤智能设备有限公司智能木业机械设备制造项目</w:t>
      </w:r>
      <w:r>
        <w:t>环境影响报告表》；202</w:t>
      </w:r>
      <w:r>
        <w:rPr>
          <w:rFonts w:hint="eastAsia"/>
        </w:rPr>
        <w:t>3</w:t>
      </w:r>
      <w:r>
        <w:t>年</w:t>
      </w:r>
      <w:r>
        <w:rPr>
          <w:rFonts w:hint="eastAsia"/>
        </w:rPr>
        <w:t>2</w:t>
      </w:r>
      <w:r>
        <w:t>月1</w:t>
      </w:r>
      <w:r>
        <w:rPr>
          <w:rFonts w:hint="eastAsia"/>
        </w:rPr>
        <w:t>3</w:t>
      </w:r>
      <w:r>
        <w:t>日，枣庄市生态环境局峄城分局以枣环峄审字[202</w:t>
      </w:r>
      <w:r>
        <w:rPr>
          <w:rFonts w:hint="eastAsia"/>
        </w:rPr>
        <w:t>3</w:t>
      </w:r>
      <w:r>
        <w:t>]</w:t>
      </w:r>
      <w:r>
        <w:rPr>
          <w:rFonts w:hint="eastAsia"/>
        </w:rPr>
        <w:t>04</w:t>
      </w:r>
      <w:r>
        <w:t>号予以批复。</w:t>
      </w:r>
    </w:p>
    <w:p>
      <w:pPr>
        <w:ind w:firstLine="480"/>
        <w:rPr>
          <w:highlight w:val="red"/>
        </w:rPr>
      </w:pPr>
      <w:r>
        <w:t>202</w:t>
      </w:r>
      <w:r>
        <w:rPr>
          <w:rFonts w:hint="eastAsia"/>
        </w:rPr>
        <w:t>3</w:t>
      </w:r>
      <w:r>
        <w:t>年</w:t>
      </w:r>
      <w:r>
        <w:rPr>
          <w:rFonts w:hint="eastAsia"/>
        </w:rPr>
        <w:t>3</w:t>
      </w:r>
      <w:r>
        <w:t>月，</w:t>
      </w:r>
      <w:r>
        <w:rPr>
          <w:rFonts w:hint="eastAsia"/>
        </w:rPr>
        <w:t>山东德勤智能设备有限公司</w:t>
      </w:r>
      <w:r>
        <w:t>开工建设，购置激光切割机、全自动激光除锈机、智能切割机等设备；202</w:t>
      </w:r>
      <w:r>
        <w:rPr>
          <w:rFonts w:hint="eastAsia"/>
        </w:rPr>
        <w:t>3</w:t>
      </w:r>
      <w:r>
        <w:t>年</w:t>
      </w:r>
      <w:r>
        <w:rPr>
          <w:rFonts w:hint="eastAsia"/>
        </w:rPr>
        <w:t>10</w:t>
      </w:r>
      <w:r>
        <w:t>月中旬，完成</w:t>
      </w:r>
      <w:r>
        <w:rPr>
          <w:rFonts w:hint="eastAsia"/>
        </w:rPr>
        <w:t>项目</w:t>
      </w:r>
      <w:r>
        <w:t>主体工程及配套储运、环保工程建设</w:t>
      </w:r>
      <w:r>
        <w:rPr>
          <w:rFonts w:hint="eastAsia"/>
        </w:rPr>
        <w:t>，2023年10月11日取得固定污染源排污登记回执单，2023年11月项目进行试生产。</w:t>
      </w:r>
      <w:r>
        <w:t>于202</w:t>
      </w:r>
      <w:r>
        <w:rPr>
          <w:rFonts w:hint="eastAsia"/>
        </w:rPr>
        <w:t>3</w:t>
      </w:r>
      <w:r>
        <w:t>年</w:t>
      </w:r>
      <w:r>
        <w:rPr>
          <w:rFonts w:hint="eastAsia"/>
        </w:rPr>
        <w:t>12</w:t>
      </w:r>
      <w:r>
        <w:t>月</w:t>
      </w:r>
      <w:r>
        <w:rPr>
          <w:rFonts w:hint="eastAsia"/>
        </w:rPr>
        <w:t>1</w:t>
      </w:r>
      <w:r>
        <w:t>3日~</w:t>
      </w:r>
      <w:r>
        <w:rPr>
          <w:rFonts w:hint="eastAsia"/>
        </w:rPr>
        <w:t>1</w:t>
      </w:r>
      <w:r>
        <w:t>5日委托</w:t>
      </w:r>
      <w:r>
        <w:rPr>
          <w:rFonts w:hint="eastAsia"/>
        </w:rPr>
        <w:t>山东信泽环境检测有限公司对项目</w:t>
      </w:r>
      <w:r>
        <w:t>进行了</w:t>
      </w:r>
      <w:r>
        <w:rPr>
          <w:rFonts w:hint="eastAsia"/>
        </w:rPr>
        <w:t>废气、噪声、环境空气的</w:t>
      </w:r>
      <w:r>
        <w:t>检测</w:t>
      </w:r>
      <w:r>
        <w:rPr>
          <w:rFonts w:hint="eastAsia"/>
        </w:rPr>
        <w:t>，因生产时间短，化粪池内的生活污水量较少，于2024年2月28日</w:t>
      </w:r>
      <w:r>
        <w:t>~</w:t>
      </w:r>
      <w:r>
        <w:rPr>
          <w:rFonts w:hint="eastAsia"/>
        </w:rPr>
        <w:t>29</w:t>
      </w:r>
      <w:r>
        <w:t>日</w:t>
      </w:r>
      <w:r>
        <w:rPr>
          <w:rFonts w:hint="eastAsia"/>
        </w:rPr>
        <w:t>对项目产生的生活污水进行检测</w:t>
      </w:r>
      <w:r>
        <w:t>。</w:t>
      </w:r>
    </w:p>
    <w:p>
      <w:pPr>
        <w:ind w:firstLine="480"/>
      </w:pPr>
      <w:r>
        <w:rPr>
          <w:rFonts w:hint="eastAsia"/>
        </w:rPr>
        <w:t>2024年3月，山东德勤智能设备有限公司</w:t>
      </w:r>
      <w:r>
        <w:t>按照国家有关规范和</w:t>
      </w:r>
      <w:r>
        <w:rPr>
          <w:rFonts w:hint="eastAsia"/>
        </w:rPr>
        <w:t>生态环境局</w:t>
      </w:r>
      <w:r>
        <w:t>的管理要求、资料及提出的编写意见，编制完成此环境保护验收监测报告。</w:t>
      </w:r>
    </w:p>
    <w:p>
      <w:pPr>
        <w:pStyle w:val="4"/>
      </w:pPr>
      <w:bookmarkStart w:id="100" w:name="_Toc294"/>
      <w:bookmarkStart w:id="101" w:name="_Toc25951"/>
      <w:bookmarkStart w:id="102" w:name="_Toc17068"/>
      <w:bookmarkStart w:id="103" w:name="_Toc32158"/>
      <w:bookmarkStart w:id="104" w:name="_Toc5813"/>
      <w:bookmarkStart w:id="105" w:name="_Toc4777"/>
      <w:bookmarkStart w:id="106" w:name="_Toc16576_WPSOffice_Level2"/>
      <w:bookmarkStart w:id="107" w:name="_Toc14452"/>
      <w:bookmarkStart w:id="108" w:name="_Toc338659412"/>
      <w:bookmarkStart w:id="109" w:name="_Toc1520"/>
      <w:bookmarkStart w:id="110" w:name="_Toc14011"/>
      <w:bookmarkStart w:id="111" w:name="_Toc11882"/>
      <w:bookmarkStart w:id="112" w:name="_Toc29042"/>
      <w:bookmarkStart w:id="113" w:name="_Toc7970"/>
      <w:bookmarkStart w:id="114" w:name="_Toc11777_WPSOffice_Level2"/>
      <w:bookmarkStart w:id="115" w:name="_Toc12226_WPSOffice_Level2"/>
      <w:bookmarkStart w:id="116" w:name="_Toc508787694"/>
      <w:bookmarkStart w:id="117" w:name="_Toc19129_WPSOffice_Level2"/>
      <w:bookmarkStart w:id="118" w:name="_Toc12475"/>
      <w:bookmarkStart w:id="119" w:name="_Toc22351"/>
      <w:bookmarkStart w:id="120" w:name="_Toc29320"/>
      <w:bookmarkStart w:id="121" w:name="_Toc17208"/>
      <w:bookmarkStart w:id="122" w:name="_Toc405546960"/>
      <w:bookmarkStart w:id="123" w:name="_Toc15165"/>
      <w:bookmarkStart w:id="124" w:name="_Toc11421_WPSOffice_Level2"/>
      <w:bookmarkStart w:id="125" w:name="_Toc20682"/>
      <w:bookmarkStart w:id="126" w:name="_Toc27076"/>
      <w:bookmarkStart w:id="127" w:name="_Toc12962"/>
      <w:bookmarkStart w:id="128" w:name="_Toc16414"/>
      <w:r>
        <w:t>1.2验收范围及内容</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ind w:firstLine="482"/>
      </w:pPr>
      <w:r>
        <w:rPr>
          <w:b/>
          <w:bCs/>
          <w:kern w:val="0"/>
        </w:rPr>
        <w:t>验收范围：</w:t>
      </w:r>
      <w:r>
        <w:rPr>
          <w:rFonts w:hint="eastAsia"/>
        </w:rPr>
        <w:t>智能木业机械设备制造项目</w:t>
      </w:r>
      <w:r>
        <w:t>主体工程及配套储运、环保工程等。</w:t>
      </w:r>
    </w:p>
    <w:p>
      <w:pPr>
        <w:autoSpaceDE w:val="0"/>
        <w:autoSpaceDN w:val="0"/>
        <w:adjustRightInd w:val="0"/>
        <w:ind w:firstLine="482"/>
        <w:jc w:val="left"/>
        <w:rPr>
          <w:kern w:val="0"/>
        </w:rPr>
      </w:pPr>
      <w:r>
        <w:rPr>
          <w:b/>
          <w:bCs/>
        </w:rPr>
        <w:t>验收内容：</w:t>
      </w:r>
      <w:r>
        <w:t>对照本项目环境影响报告表以及环保行政主管部门的批复意见要求，核查项目的建设内容、建设规模以及各项环保治理设施建设完成情况。对环境影响报告表以及环保行政主管部门的批复中提及的有关废水、废气、噪声和固体废物的产生、排放情况进行检测、统计。通过检测、检查，</w:t>
      </w:r>
      <w:r>
        <w:rPr>
          <w:kern w:val="0"/>
        </w:rPr>
        <w:t>了解各个生产工段的污染物的实际产生情况以及已采取的污染控制措施，评价分析各项措施实施的有效性；通过现场检查和实地检测，确定本项目产生的污染物浓度</w:t>
      </w:r>
      <w:r>
        <w:rPr>
          <w:rFonts w:hint="eastAsia"/>
          <w:kern w:val="0"/>
        </w:rPr>
        <w:t>及总量</w:t>
      </w:r>
      <w:r>
        <w:rPr>
          <w:kern w:val="0"/>
        </w:rPr>
        <w:t>达标排放情况。</w:t>
      </w:r>
    </w:p>
    <w:p>
      <w:pPr>
        <w:ind w:firstLine="480"/>
        <w:rPr>
          <w:color w:val="FF0000"/>
          <w:highlight w:val="red"/>
        </w:rPr>
        <w:sectPr>
          <w:footerReference r:id="rId9" w:type="default"/>
          <w:pgSz w:w="11905" w:h="16838"/>
          <w:pgMar w:top="1417" w:right="1247" w:bottom="1417" w:left="1587" w:header="709" w:footer="567" w:gutter="0"/>
          <w:pgNumType w:start="1"/>
          <w:cols w:space="720" w:num="1"/>
          <w:docGrid w:type="lines" w:linePitch="326" w:charSpace="0"/>
        </w:sectPr>
      </w:pPr>
    </w:p>
    <w:bookmarkEnd w:id="98"/>
    <w:bookmarkEnd w:id="99"/>
    <w:p>
      <w:pPr>
        <w:pStyle w:val="3"/>
      </w:pPr>
      <w:bookmarkStart w:id="129" w:name="_Toc19129_WPSOffice_Level1"/>
      <w:bookmarkStart w:id="130" w:name="_Toc8796_WPSOffice_Level1"/>
      <w:bookmarkStart w:id="131" w:name="_Toc18348"/>
      <w:bookmarkStart w:id="132" w:name="_Toc12226_WPSOffice_Level1"/>
      <w:bookmarkStart w:id="133" w:name="_Toc703"/>
      <w:bookmarkStart w:id="134" w:name="_Toc1259"/>
      <w:bookmarkStart w:id="135" w:name="_Toc16786"/>
      <w:bookmarkStart w:id="136" w:name="_Toc20581_WPSOffice_Level1"/>
      <w:bookmarkStart w:id="137" w:name="_Toc2191"/>
      <w:bookmarkStart w:id="138" w:name="_Toc10164"/>
      <w:bookmarkStart w:id="139" w:name="_Toc9652"/>
      <w:bookmarkStart w:id="140" w:name="_Toc24045"/>
      <w:bookmarkStart w:id="141" w:name="_Toc25904"/>
      <w:bookmarkStart w:id="142" w:name="_Toc21748"/>
      <w:bookmarkStart w:id="143" w:name="_Toc21548"/>
      <w:bookmarkStart w:id="144" w:name="_Toc30298"/>
      <w:bookmarkStart w:id="145" w:name="_Toc508787696"/>
      <w:bookmarkStart w:id="146" w:name="_Toc20665_WPSOffice_Level2"/>
      <w:bookmarkStart w:id="147" w:name="_Toc517820293"/>
      <w:bookmarkStart w:id="148" w:name="_Toc27029_WPSOffice_Level2"/>
      <w:bookmarkStart w:id="149" w:name="_Toc517446169"/>
      <w:bookmarkStart w:id="150" w:name="_Toc9813"/>
      <w:bookmarkStart w:id="151" w:name="_Toc25101"/>
      <w:bookmarkStart w:id="152" w:name="_Toc20474"/>
      <w:bookmarkStart w:id="153" w:name="_Toc31368"/>
      <w:bookmarkStart w:id="154" w:name="_Toc32575"/>
      <w:bookmarkStart w:id="155" w:name="_Toc6614"/>
      <w:bookmarkStart w:id="156" w:name="_Toc11036"/>
      <w:bookmarkStart w:id="157" w:name="_Toc508787698"/>
      <w:bookmarkStart w:id="158" w:name="_Toc31147"/>
      <w:bookmarkStart w:id="159" w:name="_Toc31506"/>
      <w:bookmarkStart w:id="160" w:name="_Toc12438"/>
      <w:bookmarkStart w:id="161" w:name="_Toc30968"/>
      <w:bookmarkStart w:id="162" w:name="_Toc15478"/>
      <w:bookmarkStart w:id="163" w:name="_Toc28053"/>
      <w:bookmarkStart w:id="164" w:name="_Toc32037"/>
      <w:bookmarkStart w:id="165" w:name="_Toc23841"/>
      <w:bookmarkStart w:id="166" w:name="_Toc8797_WPSOffice_Level2"/>
      <w:r>
        <w:t>第二章 验收依据</w:t>
      </w:r>
      <w:bookmarkEnd w:id="129"/>
      <w:bookmarkEnd w:id="130"/>
      <w:bookmarkEnd w:id="131"/>
      <w:bookmarkEnd w:id="132"/>
      <w:bookmarkEnd w:id="133"/>
      <w:bookmarkEnd w:id="134"/>
      <w:bookmarkEnd w:id="135"/>
      <w:bookmarkEnd w:id="136"/>
      <w:bookmarkEnd w:id="137"/>
      <w:bookmarkEnd w:id="138"/>
    </w:p>
    <w:p>
      <w:pPr>
        <w:pStyle w:val="4"/>
      </w:pPr>
      <w:bookmarkStart w:id="167" w:name="_Toc27912"/>
      <w:bookmarkStart w:id="168" w:name="_Toc10785"/>
      <w:bookmarkStart w:id="169" w:name="_Toc14333_WPSOffice_Level2"/>
      <w:bookmarkStart w:id="170" w:name="_Toc29015_WPSOffice_Level2"/>
      <w:bookmarkStart w:id="171" w:name="_Toc22854"/>
      <w:bookmarkStart w:id="172" w:name="_Toc22450"/>
      <w:bookmarkStart w:id="173" w:name="_Toc23093_WPSOffice_Level2"/>
      <w:bookmarkStart w:id="174" w:name="_Toc11799"/>
      <w:bookmarkStart w:id="175" w:name="_Toc20576"/>
      <w:bookmarkStart w:id="176" w:name="_Toc1604_WPSOffice_Level2"/>
      <w:r>
        <w:t>2.1</w:t>
      </w:r>
      <w:bookmarkEnd w:id="139"/>
      <w:bookmarkEnd w:id="140"/>
      <w:bookmarkEnd w:id="141"/>
      <w:bookmarkEnd w:id="142"/>
      <w:bookmarkEnd w:id="143"/>
      <w:bookmarkEnd w:id="144"/>
      <w:bookmarkEnd w:id="145"/>
      <w:bookmarkEnd w:id="146"/>
      <w:r>
        <w:t xml:space="preserve"> 建设项目环境保护相关法律、法规和规章制度</w:t>
      </w:r>
      <w:bookmarkEnd w:id="147"/>
      <w:bookmarkEnd w:id="148"/>
      <w:bookmarkEnd w:id="149"/>
      <w:bookmarkEnd w:id="167"/>
      <w:bookmarkEnd w:id="168"/>
      <w:bookmarkEnd w:id="169"/>
      <w:bookmarkEnd w:id="170"/>
      <w:bookmarkEnd w:id="171"/>
      <w:bookmarkEnd w:id="172"/>
      <w:bookmarkEnd w:id="173"/>
      <w:bookmarkEnd w:id="174"/>
      <w:bookmarkEnd w:id="175"/>
      <w:bookmarkEnd w:id="176"/>
    </w:p>
    <w:p>
      <w:pPr>
        <w:ind w:firstLine="480"/>
      </w:pPr>
      <w:bookmarkStart w:id="177" w:name="_Toc6095_WPSOffice_Level2"/>
      <w:bookmarkStart w:id="178" w:name="_Toc7108"/>
      <w:bookmarkStart w:id="179" w:name="_Toc15403_WPSOffice_Level2"/>
      <w:bookmarkStart w:id="180" w:name="_Toc6698_WPSOffice_Level2"/>
      <w:bookmarkStart w:id="181" w:name="_Toc517446170"/>
      <w:bookmarkStart w:id="182" w:name="_Toc12355_WPSOffice_Level2"/>
      <w:bookmarkStart w:id="183" w:name="_Toc21630"/>
      <w:bookmarkStart w:id="184" w:name="_Toc27510_WPSOffice_Level2"/>
      <w:bookmarkStart w:id="185" w:name="_Toc517820294"/>
      <w:bookmarkStart w:id="186" w:name="_Toc1216"/>
      <w:r>
        <w:t>（1）《中华人民共和国环境保护法》（</w:t>
      </w:r>
      <w:r>
        <w:rPr>
          <w:spacing w:val="-6"/>
        </w:rPr>
        <w:t>主席令第22号，2014年4月24日修订</w:t>
      </w:r>
      <w:r>
        <w:t>，2015年1月1日起施行）；</w:t>
      </w:r>
    </w:p>
    <w:p>
      <w:pPr>
        <w:ind w:firstLine="480"/>
      </w:pPr>
      <w:r>
        <w:t>（2）《中华人民共和国环境影响评价法》（2018年12月29日修订通过并实施）；</w:t>
      </w:r>
    </w:p>
    <w:p>
      <w:pPr>
        <w:ind w:firstLine="480"/>
      </w:pPr>
      <w:r>
        <w:t>（3）《中华人民共和国大气污染防治法》（2018年10月26日修订通过并实施）；</w:t>
      </w:r>
    </w:p>
    <w:p>
      <w:pPr>
        <w:ind w:firstLine="480"/>
      </w:pPr>
      <w:r>
        <w:t>（4）《中华人民共和国水污染防治法》（主席令第87号，2017年6月27日修订，2018年1月1日起施行）；</w:t>
      </w:r>
    </w:p>
    <w:p>
      <w:pPr>
        <w:ind w:firstLine="480"/>
      </w:pPr>
      <w:r>
        <w:t>（5）《中华人民共和国环境噪声污染防治法》（2018年12月29日修订通过并实施）；</w:t>
      </w:r>
    </w:p>
    <w:p>
      <w:pPr>
        <w:ind w:firstLine="480"/>
      </w:pPr>
      <w:r>
        <w:t>（6）《中华人民共和国固体废物污染环境防治法》（2020年4月29日修订，2020年9月1日开始实施）；</w:t>
      </w:r>
    </w:p>
    <w:p>
      <w:pPr>
        <w:ind w:firstLine="480"/>
      </w:pPr>
      <w:r>
        <w:t>（7）《中华人民共和国土壤污染防治法》（2018年8月31日，十三届全国人大常委会第五次会议通过，自2019年1月1日起施行）；</w:t>
      </w:r>
    </w:p>
    <w:p>
      <w:pPr>
        <w:ind w:firstLine="480"/>
      </w:pPr>
      <w:r>
        <w:t>（8）《中华人民共和国清洁生产促进法》（中华人民共和国主席令（第七十二号），2012年2月29日修正，自2012年7月1日起施行）；</w:t>
      </w:r>
    </w:p>
    <w:p>
      <w:pPr>
        <w:ind w:firstLine="480"/>
      </w:pPr>
      <w:r>
        <w:t>（9）《国务院关于修改〈建设项目环境保护管理条例〉的决定》（国务院令第682号，2017年6月21日通过，2017年10月1日起施行）；</w:t>
      </w:r>
    </w:p>
    <w:p>
      <w:pPr>
        <w:ind w:firstLine="480"/>
      </w:pPr>
      <w:r>
        <w:t>（10）《关于发布建设项目竣工环境保护验收暂行办法的公告》（国环规环评[2017]4号，2017年11月20日起施行）；</w:t>
      </w:r>
    </w:p>
    <w:p>
      <w:pPr>
        <w:ind w:firstLine="480"/>
      </w:pPr>
      <w:r>
        <w:t>（11）《环境保护部办公厅关于印发建设项目竣工环境保护验收现场检查及审查要点的通知》（环办〔2015〕113号，2015.12.31印发）；</w:t>
      </w:r>
    </w:p>
    <w:p>
      <w:pPr>
        <w:ind w:firstLine="480"/>
        <w:rPr>
          <w:highlight w:val="yellow"/>
        </w:rPr>
      </w:pPr>
      <w:r>
        <w:t>（12）《国家危险废物名录（2021年版）》（生态环境部部务会议审议通过，自2021年1月1日起施行）；</w:t>
      </w:r>
    </w:p>
    <w:p>
      <w:pPr>
        <w:ind w:firstLine="480"/>
      </w:pPr>
      <w:r>
        <w:t>（1</w:t>
      </w:r>
      <w:r>
        <w:rPr>
          <w:rFonts w:hint="eastAsia"/>
        </w:rPr>
        <w:t>3</w:t>
      </w:r>
      <w:r>
        <w:t>）《山东省环境保护条例》（2018年11月30日山东省第十三届人民代表大会常务委员会第七次会议修订，2019年1月1日起施行）。</w:t>
      </w:r>
    </w:p>
    <w:p>
      <w:pPr>
        <w:pStyle w:val="4"/>
      </w:pPr>
      <w:bookmarkStart w:id="187" w:name="_Toc31722"/>
      <w:bookmarkStart w:id="188" w:name="_Toc4070"/>
      <w:bookmarkStart w:id="189" w:name="_Toc26228"/>
      <w:r>
        <w:t>2.2 建设项目竣工环境保护验收技术规范</w:t>
      </w:r>
      <w:bookmarkEnd w:id="177"/>
      <w:bookmarkEnd w:id="178"/>
      <w:bookmarkEnd w:id="179"/>
      <w:bookmarkEnd w:id="180"/>
      <w:bookmarkEnd w:id="181"/>
      <w:bookmarkEnd w:id="182"/>
      <w:bookmarkEnd w:id="183"/>
      <w:bookmarkEnd w:id="184"/>
      <w:bookmarkEnd w:id="185"/>
      <w:bookmarkEnd w:id="186"/>
      <w:bookmarkEnd w:id="187"/>
      <w:bookmarkEnd w:id="188"/>
      <w:bookmarkEnd w:id="189"/>
    </w:p>
    <w:p>
      <w:pPr>
        <w:ind w:firstLine="480"/>
      </w:pPr>
      <w:r>
        <w:t>（1）《建设项目竣工环境保护验收技术指南 污染影响类》（2018-05-15发布）；</w:t>
      </w:r>
    </w:p>
    <w:p>
      <w:pPr>
        <w:ind w:firstLine="480"/>
      </w:pPr>
      <w:r>
        <w:t>（2）《固定污染源监测质量保证与质量控制技术规范（试行）》（HJ/T373-2007，2008-01-01实施）；</w:t>
      </w:r>
    </w:p>
    <w:p>
      <w:pPr>
        <w:ind w:firstLine="480"/>
      </w:pPr>
      <w:r>
        <w:t>（3）《固定源废气监测技术规范（试行）》（HJ/T 397-2007，2008-03-01实施）；</w:t>
      </w:r>
    </w:p>
    <w:p>
      <w:pPr>
        <w:ind w:firstLine="480"/>
      </w:pPr>
      <w:r>
        <w:t>（4）《大气污染物无组织排放监测技术导则》（HJ/T 55-2000，2001-03-01实施）。</w:t>
      </w:r>
    </w:p>
    <w:p>
      <w:pPr>
        <w:ind w:firstLine="480"/>
      </w:pPr>
      <w:r>
        <w:t>（5）《污水监测技术规范》（HJ 91.1-2019，2020-03-24实施）。</w:t>
      </w:r>
    </w:p>
    <w:p>
      <w:pPr>
        <w:ind w:firstLine="480"/>
      </w:pPr>
      <w:r>
        <w:t>（</w:t>
      </w:r>
      <w:r>
        <w:rPr>
          <w:rFonts w:hint="eastAsia"/>
        </w:rPr>
        <w:t>6</w:t>
      </w:r>
      <w:r>
        <w:t>）《生态环境部办公厅关于印发污染影响类建设项目重大变动清单（试行）的通知》（环办环评函〔2020〕688号，2020年12月13日）；</w:t>
      </w:r>
    </w:p>
    <w:p>
      <w:pPr>
        <w:pStyle w:val="4"/>
      </w:pPr>
      <w:bookmarkStart w:id="190" w:name="_Toc7534_WPSOffice_Level2"/>
      <w:bookmarkStart w:id="191" w:name="_Toc21667"/>
      <w:bookmarkStart w:id="192" w:name="_Toc20334"/>
      <w:bookmarkStart w:id="193" w:name="_Toc15512"/>
      <w:bookmarkStart w:id="194" w:name="_Toc10006"/>
      <w:bookmarkStart w:id="195" w:name="_Toc1861_WPSOffice_Level2"/>
      <w:bookmarkStart w:id="196" w:name="_Toc7599"/>
      <w:bookmarkStart w:id="197" w:name="_Toc7849_WPSOffice_Level2"/>
      <w:bookmarkStart w:id="198" w:name="_Toc13078_WPSOffice_Level2"/>
      <w:bookmarkStart w:id="199" w:name="_Toc3408"/>
      <w:r>
        <w:t>2</w:t>
      </w:r>
      <w:r>
        <w:rPr>
          <w:lang w:val="zh-CN"/>
        </w:rPr>
        <w:t xml:space="preserve">.3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90"/>
      <w:bookmarkEnd w:id="191"/>
      <w:bookmarkEnd w:id="192"/>
      <w:bookmarkEnd w:id="193"/>
      <w:bookmarkEnd w:id="194"/>
      <w:bookmarkEnd w:id="195"/>
      <w:bookmarkEnd w:id="196"/>
      <w:bookmarkEnd w:id="197"/>
      <w:bookmarkEnd w:id="198"/>
      <w:r>
        <w:rPr>
          <w:rFonts w:hint="eastAsia"/>
        </w:rPr>
        <w:t>建设项目环境影响报告书（表）及其审批部门审批决定</w:t>
      </w:r>
      <w:bookmarkEnd w:id="199"/>
    </w:p>
    <w:p>
      <w:pPr>
        <w:ind w:firstLine="480"/>
      </w:pPr>
      <w:r>
        <w:t>1、《</w:t>
      </w:r>
      <w:r>
        <w:rPr>
          <w:rFonts w:hint="eastAsia"/>
        </w:rPr>
        <w:t>山东德勤智能设备有限公司智能木业机械设备制造项目</w:t>
      </w:r>
      <w:r>
        <w:t>环境影响报告表》（202</w:t>
      </w:r>
      <w:r>
        <w:rPr>
          <w:rFonts w:hint="eastAsia"/>
        </w:rPr>
        <w:t>3</w:t>
      </w:r>
      <w:r>
        <w:t>年</w:t>
      </w:r>
      <w:r>
        <w:rPr>
          <w:rFonts w:hint="eastAsia"/>
        </w:rPr>
        <w:t>1</w:t>
      </w:r>
      <w:r>
        <w:t>月，</w:t>
      </w:r>
      <w:r>
        <w:rPr>
          <w:rFonts w:hint="eastAsia"/>
        </w:rPr>
        <w:t>山东益源环保科技有限公司</w:t>
      </w:r>
      <w:r>
        <w:t>）；</w:t>
      </w:r>
    </w:p>
    <w:p>
      <w:pPr>
        <w:ind w:firstLine="480"/>
      </w:pPr>
      <w:r>
        <w:t>2、《枣庄市生态环境局峄城分局关于</w:t>
      </w:r>
      <w:r>
        <w:rPr>
          <w:rFonts w:hint="eastAsia"/>
        </w:rPr>
        <w:t>山东德勤智能设备有限公司智能木业机械设备制造项目</w:t>
      </w:r>
      <w:r>
        <w:t>环境影响报告表的批复》（202</w:t>
      </w:r>
      <w:r>
        <w:rPr>
          <w:rFonts w:hint="eastAsia"/>
        </w:rPr>
        <w:t>3</w:t>
      </w:r>
      <w:r>
        <w:t>年</w:t>
      </w:r>
      <w:r>
        <w:rPr>
          <w:rFonts w:hint="eastAsia"/>
        </w:rPr>
        <w:t>2</w:t>
      </w:r>
      <w:r>
        <w:t>月1</w:t>
      </w:r>
      <w:r>
        <w:rPr>
          <w:rFonts w:hint="eastAsia"/>
        </w:rPr>
        <w:t>3</w:t>
      </w:r>
      <w:r>
        <w:t>日，枣环峄审字[202</w:t>
      </w:r>
      <w:r>
        <w:rPr>
          <w:rFonts w:hint="eastAsia"/>
        </w:rPr>
        <w:t>3</w:t>
      </w:r>
      <w:r>
        <w:t>]</w:t>
      </w:r>
      <w:r>
        <w:rPr>
          <w:rFonts w:hint="eastAsia"/>
        </w:rPr>
        <w:t>04</w:t>
      </w:r>
      <w:r>
        <w:t>号）。</w:t>
      </w:r>
    </w:p>
    <w:p>
      <w:pPr>
        <w:pStyle w:val="4"/>
      </w:pPr>
      <w:bookmarkStart w:id="200" w:name="_Toc8311"/>
      <w:bookmarkStart w:id="201" w:name="_Toc508787699"/>
      <w:bookmarkStart w:id="202" w:name="_Toc22761_WPSOffice_Level2"/>
      <w:bookmarkStart w:id="203" w:name="_Toc18509"/>
      <w:bookmarkStart w:id="204" w:name="_Toc2416"/>
      <w:bookmarkStart w:id="205" w:name="_Toc31532"/>
      <w:bookmarkStart w:id="206" w:name="_Toc22256"/>
      <w:bookmarkStart w:id="207" w:name="_Toc10582"/>
      <w:bookmarkStart w:id="208" w:name="_Toc13746"/>
      <w:bookmarkStart w:id="209" w:name="_Toc8519"/>
      <w:bookmarkStart w:id="210" w:name="_Toc7041"/>
      <w:bookmarkStart w:id="211" w:name="_Toc1051"/>
      <w:bookmarkStart w:id="212" w:name="_Toc21357"/>
      <w:bookmarkStart w:id="213" w:name="_Toc25483"/>
      <w:bookmarkStart w:id="214" w:name="_Toc16877"/>
      <w:bookmarkStart w:id="215" w:name="_Toc16147"/>
      <w:bookmarkStart w:id="216" w:name="_Toc562"/>
      <w:bookmarkStart w:id="217" w:name="_Toc12669_WPSOffice_Level2"/>
      <w:bookmarkStart w:id="218" w:name="_Toc19411_WPSOffice_Level2"/>
      <w:bookmarkStart w:id="219" w:name="_Toc11400"/>
      <w:bookmarkStart w:id="220" w:name="_Toc218"/>
      <w:bookmarkStart w:id="221" w:name="_Toc17284"/>
      <w:bookmarkStart w:id="222" w:name="_Toc9757"/>
      <w:bookmarkStart w:id="223" w:name="_Toc23061"/>
      <w:bookmarkStart w:id="224" w:name="_Toc6009"/>
      <w:bookmarkStart w:id="225" w:name="_Toc19923_WPSOffice_Level2"/>
      <w:bookmarkStart w:id="226" w:name="_Toc10307_WPSOffice_Level2"/>
      <w:r>
        <w:t xml:space="preserve">2.4 </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t>其他相关文件</w:t>
      </w:r>
      <w:bookmarkEnd w:id="217"/>
      <w:bookmarkEnd w:id="218"/>
      <w:bookmarkEnd w:id="219"/>
      <w:bookmarkEnd w:id="220"/>
      <w:bookmarkEnd w:id="221"/>
      <w:bookmarkEnd w:id="222"/>
      <w:bookmarkEnd w:id="223"/>
      <w:bookmarkEnd w:id="224"/>
      <w:bookmarkEnd w:id="225"/>
      <w:bookmarkEnd w:id="226"/>
    </w:p>
    <w:p>
      <w:pPr>
        <w:pStyle w:val="33"/>
        <w:numPr>
          <w:ilvl w:val="0"/>
          <w:numId w:val="2"/>
        </w:numPr>
        <w:ind w:left="0" w:firstLine="480"/>
      </w:pPr>
      <w:r>
        <w:rPr>
          <w:szCs w:val="24"/>
        </w:rPr>
        <w:t>项目委托函；</w:t>
      </w:r>
    </w:p>
    <w:p>
      <w:pPr>
        <w:pStyle w:val="33"/>
        <w:numPr>
          <w:ilvl w:val="0"/>
          <w:numId w:val="2"/>
        </w:numPr>
        <w:ind w:left="0" w:firstLine="480"/>
      </w:pPr>
      <w:r>
        <w:fldChar w:fldCharType="begin"/>
      </w:r>
      <w:r>
        <w:instrText xml:space="preserve"> HYPERLINK \l "_Toc23510" </w:instrText>
      </w:r>
      <w:r>
        <w:fldChar w:fldCharType="separate"/>
      </w:r>
      <w:r>
        <w:t>危废处置协议</w:t>
      </w:r>
      <w:r>
        <w:fldChar w:fldCharType="end"/>
      </w:r>
      <w:r>
        <w:t>；</w:t>
      </w:r>
    </w:p>
    <w:p>
      <w:pPr>
        <w:pStyle w:val="33"/>
        <w:numPr>
          <w:ilvl w:val="0"/>
          <w:numId w:val="2"/>
        </w:numPr>
        <w:ind w:left="0" w:firstLine="480"/>
      </w:pPr>
      <w:r>
        <w:t>突发环境事件应急预案备案表；</w:t>
      </w:r>
      <w:bookmarkStart w:id="227" w:name="_Toc1604_WPSOffice_Level1"/>
      <w:bookmarkStart w:id="228" w:name="_Toc16751"/>
      <w:bookmarkStart w:id="229" w:name="_Toc508787700"/>
      <w:bookmarkStart w:id="230" w:name="_Toc29015_WPSOffice_Level1"/>
      <w:bookmarkStart w:id="231" w:name="_Toc26508"/>
      <w:bookmarkStart w:id="232" w:name="_Toc20327"/>
      <w:bookmarkStart w:id="233" w:name="_Toc18685"/>
      <w:bookmarkStart w:id="234" w:name="_Toc16159"/>
      <w:bookmarkStart w:id="235" w:name="_Toc9244"/>
      <w:bookmarkStart w:id="236" w:name="_Toc16576_WPSOffice_Level1"/>
      <w:bookmarkStart w:id="237" w:name="_Toc23281"/>
      <w:bookmarkStart w:id="238" w:name="_Toc22041"/>
      <w:bookmarkStart w:id="239" w:name="_Toc23669"/>
      <w:bookmarkStart w:id="240" w:name="_Toc11421_WPSOffice_Level1"/>
      <w:bookmarkStart w:id="241" w:name="_Toc12850"/>
      <w:bookmarkStart w:id="242" w:name="_Toc27371"/>
      <w:bookmarkStart w:id="243" w:name="_Toc6796"/>
      <w:bookmarkStart w:id="244" w:name="_Toc26971"/>
      <w:bookmarkStart w:id="245" w:name="_Toc24637"/>
      <w:bookmarkStart w:id="246" w:name="_Toc12693"/>
      <w:bookmarkStart w:id="247" w:name="_Toc13761_WPSOffice_Level1"/>
      <w:bookmarkStart w:id="248" w:name="_Toc25138"/>
      <w:bookmarkStart w:id="249" w:name="_Toc22581"/>
      <w:bookmarkStart w:id="250" w:name="_Toc10270"/>
    </w:p>
    <w:p>
      <w:pPr>
        <w:pStyle w:val="33"/>
        <w:numPr>
          <w:ilvl w:val="0"/>
          <w:numId w:val="2"/>
        </w:numPr>
        <w:ind w:left="0" w:firstLine="480"/>
      </w:pPr>
      <w:r>
        <w:t>排污许可证申领、年报填写情况；</w:t>
      </w:r>
    </w:p>
    <w:p>
      <w:pPr>
        <w:pStyle w:val="33"/>
        <w:numPr>
          <w:ilvl w:val="0"/>
          <w:numId w:val="2"/>
        </w:numPr>
        <w:ind w:left="0" w:firstLine="480"/>
      </w:pPr>
      <w:r>
        <w:t>总量确认书；</w:t>
      </w:r>
    </w:p>
    <w:p>
      <w:pPr>
        <w:pStyle w:val="33"/>
        <w:numPr>
          <w:ilvl w:val="0"/>
          <w:numId w:val="2"/>
        </w:numPr>
        <w:ind w:left="0" w:firstLine="480"/>
      </w:pPr>
      <w:r>
        <w:t>验收检测方案及检测报告。</w:t>
      </w:r>
    </w:p>
    <w:p>
      <w:pPr>
        <w:pStyle w:val="3"/>
      </w:pPr>
      <w:bookmarkStart w:id="251" w:name="_Toc19784"/>
      <w:bookmarkStart w:id="252" w:name="_Toc30698"/>
      <w:bookmarkStart w:id="253" w:name="_Toc6533"/>
      <w:r>
        <w:t>第三章 工程建设情况</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4"/>
      </w:pPr>
      <w:bookmarkStart w:id="254" w:name="_Toc19498"/>
      <w:bookmarkStart w:id="255" w:name="_Toc26919"/>
      <w:bookmarkStart w:id="256" w:name="_Toc22561_WPSOffice_Level2"/>
      <w:bookmarkStart w:id="257" w:name="_Toc23992"/>
      <w:bookmarkStart w:id="258" w:name="_Toc11792_WPSOffice_Level2"/>
      <w:bookmarkStart w:id="259" w:name="_Toc31664"/>
      <w:bookmarkStart w:id="260" w:name="_Toc18922"/>
      <w:bookmarkStart w:id="261" w:name="_Toc23214"/>
      <w:bookmarkStart w:id="262" w:name="_Toc2759"/>
      <w:bookmarkStart w:id="263" w:name="_Toc31284"/>
      <w:bookmarkStart w:id="264" w:name="_Toc9806"/>
      <w:bookmarkStart w:id="265" w:name="_Toc19321_WPSOffice_Level2"/>
      <w:bookmarkStart w:id="266" w:name="_Toc9928"/>
      <w:bookmarkStart w:id="267" w:name="_Toc9723"/>
      <w:bookmarkStart w:id="268" w:name="_Toc27676"/>
      <w:bookmarkStart w:id="269" w:name="_Toc5140"/>
      <w:bookmarkStart w:id="270" w:name="_Toc508787701"/>
      <w:bookmarkStart w:id="271" w:name="_Toc15777_WPSOffice_Level2"/>
      <w:bookmarkStart w:id="272" w:name="_Toc24809"/>
      <w:bookmarkStart w:id="273" w:name="_Toc12512"/>
      <w:bookmarkStart w:id="274" w:name="_Toc8536"/>
      <w:bookmarkStart w:id="275" w:name="_Toc25144"/>
      <w:bookmarkStart w:id="276" w:name="_Toc25131_WPSOffice_Level2"/>
      <w:bookmarkStart w:id="277" w:name="_Toc28342"/>
      <w:bookmarkStart w:id="278" w:name="_Toc42"/>
      <w:r>
        <w:t>3.1地理位置及平面布置</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ind w:firstLine="480"/>
        <w:jc w:val="left"/>
        <w:rPr>
          <w:kern w:val="0"/>
        </w:rPr>
      </w:pPr>
      <w:bookmarkStart w:id="279" w:name="_Toc26799_WPSOffice_Level3"/>
      <w:bookmarkStart w:id="280" w:name="_Toc14899_WPSOffice_Level3"/>
      <w:r>
        <w:t>项目位于</w:t>
      </w:r>
      <w:r>
        <w:rPr>
          <w:rFonts w:hint="eastAsia"/>
        </w:rPr>
        <w:t>枣庄市峄城区吴林街道吴林大埝园</w:t>
      </w:r>
      <w:r>
        <w:t>，</w:t>
      </w:r>
      <w:r>
        <w:rPr>
          <w:kern w:val="0"/>
        </w:rPr>
        <w:t>总占地面积为</w:t>
      </w:r>
      <w:r>
        <w:rPr>
          <w:rFonts w:hint="eastAsia"/>
        </w:rPr>
        <w:t>7761</w:t>
      </w:r>
      <w:r>
        <w:t>m</w:t>
      </w:r>
      <w:r>
        <w:rPr>
          <w:vertAlign w:val="superscript"/>
        </w:rPr>
        <w:t>2</w:t>
      </w:r>
      <w:r>
        <w:rPr>
          <w:kern w:val="0"/>
        </w:rPr>
        <w:t>。厂区中心经纬度为：</w:t>
      </w:r>
      <w:r>
        <w:rPr>
          <w:kern w:val="24"/>
        </w:rPr>
        <w:t>N：34°44'24.727"，E：117°37'33.178"</w:t>
      </w:r>
      <w:r>
        <w:rPr>
          <w:kern w:val="0"/>
        </w:rPr>
        <w:t>。项目周边敏感目标一览见表3.1-1。</w:t>
      </w:r>
    </w:p>
    <w:p>
      <w:pPr>
        <w:pStyle w:val="48"/>
      </w:pPr>
      <w:r>
        <w:t>表3.1-1 项目周边敏感目标一览见表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647"/>
        <w:gridCol w:w="906"/>
        <w:gridCol w:w="1264"/>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Align w:val="center"/>
          </w:tcPr>
          <w:p>
            <w:pPr>
              <w:pStyle w:val="44"/>
            </w:pPr>
            <w:r>
              <w:t>环境</w:t>
            </w:r>
          </w:p>
          <w:p>
            <w:pPr>
              <w:pStyle w:val="44"/>
            </w:pPr>
            <w:r>
              <w:t>要素</w:t>
            </w:r>
          </w:p>
        </w:tc>
        <w:tc>
          <w:tcPr>
            <w:tcW w:w="887" w:type="pct"/>
            <w:vAlign w:val="center"/>
          </w:tcPr>
          <w:p>
            <w:pPr>
              <w:pStyle w:val="44"/>
            </w:pPr>
            <w:r>
              <w:t>环境保护</w:t>
            </w:r>
          </w:p>
          <w:p>
            <w:pPr>
              <w:pStyle w:val="44"/>
            </w:pPr>
            <w:r>
              <w:t>目标名称</w:t>
            </w:r>
          </w:p>
        </w:tc>
        <w:tc>
          <w:tcPr>
            <w:tcW w:w="488" w:type="pct"/>
            <w:vAlign w:val="center"/>
          </w:tcPr>
          <w:p>
            <w:pPr>
              <w:pStyle w:val="44"/>
            </w:pPr>
            <w:r>
              <w:t>方位</w:t>
            </w:r>
          </w:p>
        </w:tc>
        <w:tc>
          <w:tcPr>
            <w:tcW w:w="681" w:type="pct"/>
            <w:vAlign w:val="center"/>
          </w:tcPr>
          <w:p>
            <w:pPr>
              <w:pStyle w:val="44"/>
            </w:pPr>
            <w:r>
              <w:t>距厂界距离(m)</w:t>
            </w:r>
          </w:p>
        </w:tc>
        <w:tc>
          <w:tcPr>
            <w:tcW w:w="2413" w:type="pct"/>
            <w:vAlign w:val="center"/>
          </w:tcPr>
          <w:p>
            <w:pPr>
              <w:pStyle w:val="44"/>
            </w:pPr>
            <w: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Merge w:val="restart"/>
            <w:vAlign w:val="center"/>
          </w:tcPr>
          <w:p>
            <w:pPr>
              <w:pStyle w:val="44"/>
            </w:pPr>
            <w:r>
              <w:t>大气</w:t>
            </w:r>
          </w:p>
          <w:p>
            <w:pPr>
              <w:pStyle w:val="44"/>
            </w:pPr>
            <w:r>
              <w:t>环境</w:t>
            </w:r>
          </w:p>
        </w:tc>
        <w:tc>
          <w:tcPr>
            <w:tcW w:w="887" w:type="pct"/>
            <w:vAlign w:val="center"/>
          </w:tcPr>
          <w:p>
            <w:pPr>
              <w:pStyle w:val="44"/>
            </w:pPr>
            <w:r>
              <w:rPr>
                <w:rFonts w:hint="eastAsia"/>
              </w:rPr>
              <w:t>大埝村</w:t>
            </w:r>
          </w:p>
        </w:tc>
        <w:tc>
          <w:tcPr>
            <w:tcW w:w="488" w:type="pct"/>
            <w:vAlign w:val="center"/>
          </w:tcPr>
          <w:p>
            <w:pPr>
              <w:pStyle w:val="44"/>
            </w:pPr>
            <w:r>
              <w:t>W</w:t>
            </w:r>
          </w:p>
        </w:tc>
        <w:tc>
          <w:tcPr>
            <w:tcW w:w="681" w:type="pct"/>
            <w:vAlign w:val="center"/>
          </w:tcPr>
          <w:p>
            <w:pPr>
              <w:pStyle w:val="44"/>
            </w:pPr>
            <w:r>
              <w:rPr>
                <w:rFonts w:hint="eastAsia"/>
              </w:rPr>
              <w:t>60</w:t>
            </w:r>
            <w:r>
              <w:t>m</w:t>
            </w:r>
          </w:p>
        </w:tc>
        <w:tc>
          <w:tcPr>
            <w:tcW w:w="2413" w:type="pct"/>
            <w:vMerge w:val="restart"/>
            <w:vAlign w:val="center"/>
          </w:tcPr>
          <w:p>
            <w:pPr>
              <w:pStyle w:val="44"/>
            </w:pPr>
            <w:r>
              <w:t>《环境空气质量标准》</w:t>
            </w:r>
          </w:p>
          <w:p>
            <w:pPr>
              <w:pStyle w:val="44"/>
            </w:pPr>
            <w:r>
              <w:t>(GB3095-2012) 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Merge w:val="continue"/>
            <w:vAlign w:val="center"/>
          </w:tcPr>
          <w:p>
            <w:pPr>
              <w:pStyle w:val="44"/>
            </w:pPr>
          </w:p>
        </w:tc>
        <w:tc>
          <w:tcPr>
            <w:tcW w:w="887" w:type="pct"/>
            <w:vAlign w:val="center"/>
          </w:tcPr>
          <w:p>
            <w:pPr>
              <w:pStyle w:val="44"/>
            </w:pPr>
            <w:r>
              <w:rPr>
                <w:rFonts w:hint="eastAsia"/>
              </w:rPr>
              <w:t>吴林敬老院</w:t>
            </w:r>
          </w:p>
        </w:tc>
        <w:tc>
          <w:tcPr>
            <w:tcW w:w="488" w:type="pct"/>
            <w:vAlign w:val="center"/>
          </w:tcPr>
          <w:p>
            <w:pPr>
              <w:pStyle w:val="44"/>
            </w:pPr>
            <w:r>
              <w:rPr>
                <w:rFonts w:hint="eastAsia"/>
              </w:rPr>
              <w:t>SE</w:t>
            </w:r>
          </w:p>
        </w:tc>
        <w:tc>
          <w:tcPr>
            <w:tcW w:w="681" w:type="pct"/>
            <w:vAlign w:val="center"/>
          </w:tcPr>
          <w:p>
            <w:pPr>
              <w:pStyle w:val="44"/>
            </w:pPr>
            <w:r>
              <w:rPr>
                <w:rFonts w:hint="eastAsia"/>
              </w:rPr>
              <w:t>260m</w:t>
            </w:r>
          </w:p>
        </w:tc>
        <w:tc>
          <w:tcPr>
            <w:tcW w:w="2413" w:type="pct"/>
            <w:vMerge w:val="continue"/>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Merge w:val="continue"/>
            <w:vAlign w:val="center"/>
          </w:tcPr>
          <w:p>
            <w:pPr>
              <w:pStyle w:val="44"/>
            </w:pPr>
          </w:p>
        </w:tc>
        <w:tc>
          <w:tcPr>
            <w:tcW w:w="887" w:type="pct"/>
            <w:vAlign w:val="center"/>
          </w:tcPr>
          <w:p>
            <w:pPr>
              <w:pStyle w:val="44"/>
            </w:pPr>
            <w:r>
              <w:rPr>
                <w:rFonts w:hint="eastAsia"/>
              </w:rPr>
              <w:t>吴林幼儿园</w:t>
            </w:r>
          </w:p>
        </w:tc>
        <w:tc>
          <w:tcPr>
            <w:tcW w:w="488" w:type="pct"/>
            <w:vAlign w:val="center"/>
          </w:tcPr>
          <w:p>
            <w:pPr>
              <w:pStyle w:val="44"/>
            </w:pPr>
            <w:r>
              <w:rPr>
                <w:rFonts w:hint="eastAsia"/>
              </w:rPr>
              <w:t>SE</w:t>
            </w:r>
          </w:p>
        </w:tc>
        <w:tc>
          <w:tcPr>
            <w:tcW w:w="681" w:type="pct"/>
            <w:vAlign w:val="center"/>
          </w:tcPr>
          <w:p>
            <w:pPr>
              <w:pStyle w:val="44"/>
            </w:pPr>
            <w:r>
              <w:rPr>
                <w:rFonts w:hint="eastAsia"/>
              </w:rPr>
              <w:t>380m</w:t>
            </w:r>
          </w:p>
        </w:tc>
        <w:tc>
          <w:tcPr>
            <w:tcW w:w="2413" w:type="pct"/>
            <w:vMerge w:val="continue"/>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Merge w:val="continue"/>
            <w:vAlign w:val="center"/>
          </w:tcPr>
          <w:p>
            <w:pPr>
              <w:pStyle w:val="44"/>
            </w:pPr>
          </w:p>
        </w:tc>
        <w:tc>
          <w:tcPr>
            <w:tcW w:w="887" w:type="pct"/>
            <w:vAlign w:val="center"/>
          </w:tcPr>
          <w:p>
            <w:pPr>
              <w:pStyle w:val="44"/>
            </w:pPr>
            <w:r>
              <w:rPr>
                <w:rFonts w:hint="eastAsia"/>
              </w:rPr>
              <w:t>吴林中学</w:t>
            </w:r>
          </w:p>
        </w:tc>
        <w:tc>
          <w:tcPr>
            <w:tcW w:w="488" w:type="pct"/>
            <w:vAlign w:val="center"/>
          </w:tcPr>
          <w:p>
            <w:pPr>
              <w:pStyle w:val="44"/>
            </w:pPr>
            <w:r>
              <w:rPr>
                <w:rFonts w:hint="eastAsia"/>
              </w:rPr>
              <w:t>SE</w:t>
            </w:r>
          </w:p>
        </w:tc>
        <w:tc>
          <w:tcPr>
            <w:tcW w:w="681" w:type="pct"/>
            <w:vAlign w:val="center"/>
          </w:tcPr>
          <w:p>
            <w:pPr>
              <w:pStyle w:val="44"/>
            </w:pPr>
            <w:r>
              <w:rPr>
                <w:rFonts w:hint="eastAsia"/>
              </w:rPr>
              <w:t>440m</w:t>
            </w:r>
          </w:p>
        </w:tc>
        <w:tc>
          <w:tcPr>
            <w:tcW w:w="2413" w:type="pct"/>
            <w:vMerge w:val="continue"/>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Merge w:val="restart"/>
            <w:vAlign w:val="center"/>
          </w:tcPr>
          <w:p>
            <w:pPr>
              <w:pStyle w:val="44"/>
            </w:pPr>
            <w:r>
              <w:t>水环境</w:t>
            </w:r>
          </w:p>
        </w:tc>
        <w:tc>
          <w:tcPr>
            <w:tcW w:w="2056" w:type="pct"/>
            <w:gridSpan w:val="3"/>
            <w:vAlign w:val="center"/>
          </w:tcPr>
          <w:p>
            <w:pPr>
              <w:pStyle w:val="44"/>
            </w:pPr>
            <w:r>
              <w:rPr>
                <w:rFonts w:hint="eastAsia"/>
              </w:rPr>
              <w:t>峄城大沙河</w:t>
            </w:r>
          </w:p>
        </w:tc>
        <w:tc>
          <w:tcPr>
            <w:tcW w:w="2413" w:type="pct"/>
            <w:vAlign w:val="center"/>
          </w:tcPr>
          <w:p>
            <w:pPr>
              <w:pStyle w:val="44"/>
            </w:pPr>
            <w:r>
              <w:t xml:space="preserve">《地表水环境质量标准》(GB3838-2002) </w:t>
            </w:r>
            <w:r>
              <w:fldChar w:fldCharType="begin"/>
            </w:r>
            <w:r>
              <w:instrText xml:space="preserve"> = 3 \* ROMAN </w:instrText>
            </w:r>
            <w:r>
              <w:fldChar w:fldCharType="separate"/>
            </w:r>
            <w:r>
              <w:t>III</w:t>
            </w:r>
            <w:r>
              <w:fldChar w:fldCharType="end"/>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Merge w:val="continue"/>
            <w:vAlign w:val="center"/>
          </w:tcPr>
          <w:p>
            <w:pPr>
              <w:pStyle w:val="44"/>
            </w:pPr>
          </w:p>
        </w:tc>
        <w:tc>
          <w:tcPr>
            <w:tcW w:w="2056" w:type="pct"/>
            <w:gridSpan w:val="3"/>
            <w:vAlign w:val="center"/>
          </w:tcPr>
          <w:p>
            <w:pPr>
              <w:pStyle w:val="44"/>
            </w:pPr>
            <w:r>
              <w:t>厂界外500m范围内</w:t>
            </w:r>
            <w:r>
              <w:rPr>
                <w:rFonts w:hint="eastAsia"/>
              </w:rPr>
              <w:t>地下水。</w:t>
            </w:r>
          </w:p>
        </w:tc>
        <w:tc>
          <w:tcPr>
            <w:tcW w:w="2413" w:type="pct"/>
            <w:vAlign w:val="center"/>
          </w:tcPr>
          <w:p>
            <w:pPr>
              <w:pStyle w:val="44"/>
            </w:pPr>
            <w:r>
              <w:t>《地下水质量标准》(GB/T14848-2017) 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0" w:type="pct"/>
            <w:vAlign w:val="center"/>
          </w:tcPr>
          <w:p>
            <w:pPr>
              <w:pStyle w:val="44"/>
            </w:pPr>
            <w:r>
              <w:t>声环境</w:t>
            </w:r>
          </w:p>
        </w:tc>
        <w:tc>
          <w:tcPr>
            <w:tcW w:w="887" w:type="pct"/>
            <w:vAlign w:val="center"/>
          </w:tcPr>
          <w:p>
            <w:pPr>
              <w:pStyle w:val="44"/>
              <w:rPr>
                <w:highlight w:val="yellow"/>
              </w:rPr>
            </w:pPr>
            <w:r>
              <w:rPr>
                <w:rFonts w:hint="eastAsia"/>
              </w:rPr>
              <w:t>大埝村</w:t>
            </w:r>
          </w:p>
        </w:tc>
        <w:tc>
          <w:tcPr>
            <w:tcW w:w="488" w:type="pct"/>
            <w:vAlign w:val="center"/>
          </w:tcPr>
          <w:p>
            <w:pPr>
              <w:pStyle w:val="44"/>
              <w:rPr>
                <w:highlight w:val="yellow"/>
              </w:rPr>
            </w:pPr>
            <w:r>
              <w:t>W</w:t>
            </w:r>
          </w:p>
        </w:tc>
        <w:tc>
          <w:tcPr>
            <w:tcW w:w="681" w:type="pct"/>
            <w:vAlign w:val="center"/>
          </w:tcPr>
          <w:p>
            <w:pPr>
              <w:pStyle w:val="44"/>
              <w:rPr>
                <w:highlight w:val="yellow"/>
              </w:rPr>
            </w:pPr>
            <w:r>
              <w:rPr>
                <w:rFonts w:hint="eastAsia"/>
              </w:rPr>
              <w:t>60</w:t>
            </w:r>
            <w:r>
              <w:t>m</w:t>
            </w:r>
          </w:p>
        </w:tc>
        <w:tc>
          <w:tcPr>
            <w:tcW w:w="2413" w:type="pct"/>
            <w:vAlign w:val="center"/>
          </w:tcPr>
          <w:p>
            <w:pPr>
              <w:pStyle w:val="44"/>
            </w:pPr>
            <w:r>
              <w:t xml:space="preserve">《声环境质量标准》(GB3096-2008) </w:t>
            </w:r>
            <w:r>
              <w:rPr>
                <w:rFonts w:hint="eastAsia"/>
              </w:rPr>
              <w:t>2</w:t>
            </w:r>
            <w:r>
              <w:t>类</w:t>
            </w:r>
          </w:p>
        </w:tc>
      </w:tr>
    </w:tbl>
    <w:p>
      <w:pPr>
        <w:ind w:firstLine="480"/>
      </w:pPr>
      <w:r>
        <w:t>本项目不需设置大气环境防护距离</w:t>
      </w:r>
      <w:r>
        <w:rPr>
          <w:rFonts w:hint="eastAsia"/>
        </w:rPr>
        <w:t>。</w:t>
      </w:r>
    </w:p>
    <w:p>
      <w:pPr>
        <w:ind w:firstLine="480"/>
      </w:pPr>
      <w:r>
        <w:t>项目地理位置见图3.1-1</w:t>
      </w:r>
      <w:bookmarkEnd w:id="279"/>
      <w:bookmarkEnd w:id="280"/>
      <w:r>
        <w:t>，周边环境敏感目标图见图3.1-2，平面布置见图3.1-</w:t>
      </w:r>
      <w:r>
        <w:rPr>
          <w:rFonts w:hint="eastAsia"/>
        </w:rPr>
        <w:t>3</w:t>
      </w:r>
      <w:r>
        <w:t>。</w:t>
      </w:r>
    </w:p>
    <w:p>
      <w:pPr>
        <w:ind w:firstLine="480"/>
        <w:rPr>
          <w:color w:val="FF0000"/>
        </w:rPr>
        <w:sectPr>
          <w:pgSz w:w="11905" w:h="16838"/>
          <w:pgMar w:top="1417" w:right="1247" w:bottom="1417" w:left="1587" w:header="709" w:footer="567" w:gutter="0"/>
          <w:cols w:space="720" w:num="1"/>
          <w:docGrid w:type="lines" w:linePitch="326" w:charSpace="0"/>
        </w:sectPr>
      </w:pPr>
    </w:p>
    <w:p>
      <w:pPr>
        <w:ind w:firstLine="0" w:firstLineChars="0"/>
        <w:jc w:val="center"/>
        <w:rPr>
          <w:rFonts w:eastAsia="黑体"/>
          <w:color w:val="FF0000"/>
          <w:kern w:val="0"/>
          <w:sz w:val="28"/>
          <w:szCs w:val="28"/>
          <w:highlight w:val="red"/>
        </w:rPr>
      </w:pPr>
      <w:r>
        <w:drawing>
          <wp:anchor distT="0" distB="0" distL="114300" distR="114300" simplePos="0" relativeHeight="251661312" behindDoc="0" locked="0" layoutInCell="1" allowOverlap="1">
            <wp:simplePos x="0" y="0"/>
            <wp:positionH relativeFrom="column">
              <wp:posOffset>763905</wp:posOffset>
            </wp:positionH>
            <wp:positionV relativeFrom="paragraph">
              <wp:posOffset>4445</wp:posOffset>
            </wp:positionV>
            <wp:extent cx="793750" cy="895350"/>
            <wp:effectExtent l="0" t="0" r="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rcRect l="2452" r="1762"/>
                    <a:stretch>
                      <a:fillRect/>
                    </a:stretch>
                  </pic:blipFill>
                  <pic:spPr>
                    <a:xfrm>
                      <a:off x="0" y="0"/>
                      <a:ext cx="793750" cy="895350"/>
                    </a:xfrm>
                    <a:prstGeom prst="rect">
                      <a:avLst/>
                    </a:prstGeom>
                    <a:noFill/>
                    <a:ln>
                      <a:noFill/>
                    </a:ln>
                  </pic:spPr>
                </pic:pic>
              </a:graphicData>
            </a:graphic>
          </wp:anchor>
        </w:drawing>
      </w:r>
      <w:r>
        <w:rPr>
          <w:rFonts w:hint="eastAsia"/>
        </w:rPr>
        <w:drawing>
          <wp:inline distT="0" distB="0" distL="114300" distR="114300">
            <wp:extent cx="7543165" cy="5533390"/>
            <wp:effectExtent l="0" t="0" r="635" b="10160"/>
            <wp:docPr id="3" name="图片 147" descr="附图1 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7" descr="附图1 项目地理位置图"/>
                    <pic:cNvPicPr>
                      <a:picLocks noChangeAspect="1"/>
                    </pic:cNvPicPr>
                  </pic:nvPicPr>
                  <pic:blipFill>
                    <a:blip r:embed="rId17"/>
                    <a:stretch>
                      <a:fillRect/>
                    </a:stretch>
                  </pic:blipFill>
                  <pic:spPr>
                    <a:xfrm>
                      <a:off x="0" y="0"/>
                      <a:ext cx="7543165" cy="5533390"/>
                    </a:xfrm>
                    <a:prstGeom prst="rect">
                      <a:avLst/>
                    </a:prstGeom>
                    <a:noFill/>
                    <a:ln>
                      <a:noFill/>
                    </a:ln>
                  </pic:spPr>
                </pic:pic>
              </a:graphicData>
            </a:graphic>
          </wp:inline>
        </w:drawing>
      </w:r>
    </w:p>
    <w:p>
      <w:pPr>
        <w:pStyle w:val="48"/>
      </w:pPr>
      <w:r>
        <w:t>图3.1-1 项目地理位置图</w:t>
      </w:r>
    </w:p>
    <w:p>
      <w:pPr>
        <w:ind w:firstLine="560"/>
        <w:rPr>
          <w:rFonts w:eastAsia="黑体"/>
          <w:color w:val="FF0000"/>
          <w:kern w:val="0"/>
          <w:highlight w:val="red"/>
        </w:rPr>
        <w:sectPr>
          <w:pgSz w:w="16838" w:h="11905" w:orient="landscape"/>
          <w:pgMar w:top="1247" w:right="1247" w:bottom="1247" w:left="1247" w:header="709" w:footer="680" w:gutter="0"/>
          <w:cols w:space="720" w:num="1"/>
          <w:docGrid w:type="lines" w:linePitch="326" w:charSpace="0"/>
        </w:sectPr>
      </w:pPr>
      <w:r>
        <w:rPr>
          <w:color w:val="FF0000"/>
          <w:sz w:val="28"/>
          <w:highlight w:val="red"/>
        </w:rPr>
        <mc:AlternateContent>
          <mc:Choice Requires="wps">
            <w:drawing>
              <wp:anchor distT="0" distB="0" distL="114300" distR="114300" simplePos="0" relativeHeight="251659264" behindDoc="0" locked="0" layoutInCell="1" allowOverlap="1">
                <wp:simplePos x="0" y="0"/>
                <wp:positionH relativeFrom="column">
                  <wp:posOffset>4764405</wp:posOffset>
                </wp:positionH>
                <wp:positionV relativeFrom="paragraph">
                  <wp:posOffset>3898265</wp:posOffset>
                </wp:positionV>
                <wp:extent cx="2619375" cy="442595"/>
                <wp:effectExtent l="0" t="0" r="9525" b="14605"/>
                <wp:wrapNone/>
                <wp:docPr id="126" name="文本框 126"/>
                <wp:cNvGraphicFramePr/>
                <a:graphic xmlns:a="http://schemas.openxmlformats.org/drawingml/2006/main">
                  <a:graphicData uri="http://schemas.microsoft.com/office/word/2010/wordprocessingShape">
                    <wps:wsp>
                      <wps:cNvSpPr txBox="1"/>
                      <wps:spPr>
                        <a:xfrm>
                          <a:off x="4770120" y="5824855"/>
                          <a:ext cx="2619375" cy="276225"/>
                        </a:xfrm>
                        <a:prstGeom prst="rect">
                          <a:avLst/>
                        </a:prstGeom>
                        <a:solidFill>
                          <a:srgbClr val="FFFFFF"/>
                        </a:solidFill>
                        <a:ln w="6350">
                          <a:noFill/>
                        </a:ln>
                        <a:effectLst/>
                      </wps:spPr>
                      <wps:txbx>
                        <w:txbxContent>
                          <w:p>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15pt;margin-top:306.95pt;height:34.85pt;width:206.25pt;z-index:251659264;mso-width-relative:page;mso-height-relative:page;" fillcolor="#FFFFFF" filled="t" stroked="f" coordsize="21600,21600" o:gfxdata="UEsDBAoAAAAAAIdO4kAAAAAAAAAAAAAAAAAEAAAAZHJzL1BLAwQUAAAACACHTuJAPxH0ddcAAAAM&#10;AQAADwAAAGRycy9kb3ducmV2LnhtbE2Py07DMBBF90j8gzVI7KjtBkIJcbpAYotEW7p2YxNH2OPI&#10;dp9fz3QFy5k5unNuuzwFzw425TGiAjkTwCz20Yw4KNis3x8WwHLRaLSPaBWcbYZld3vT6sbEI37a&#10;w6oMjEIwN1qBK2VqOM+9s0HnWZws0u07pqALjWngJukjhQfP50LUPOgR6YPTk31ztv9Z7YOC7RAu&#10;2y85JWeCf8SPy3m9iaNS93dSvAIr9lT+YLjqkzp05LSLezSZeQXPT6IiVEEtqxdgV0LWc2qzo9Wi&#10;qoF3Lf9fovsFUEsDBBQAAAAIAIdO4kDDjmEVZgIAAK0EAAAOAAAAZHJzL2Uyb0RvYy54bWytVEtu&#10;2zAQ3RfoHQjuG9mKfzEsB24CFwWCJoBbdE1TlEWA5LAkbSk9QHuDrLrpvufyOTqk7MRNu8iiWlBD&#10;ztMbzpsZzS5brchOOC/BFLR/1qNEGA6lNJuCfvq4fDOhxAdmSqbAiILeC08v569fzRo7FTnUoErh&#10;CJIYP21sQesQ7DTLPK+FZv4MrDDorMBpFnDrNlnpWIPsWmV5rzfKGnCldcCF93h63TnpgdG9hBCq&#10;SnJxDXyrhQkdqxOKBUzJ19J6Ok+3rSrBw21VeRGIKihmGtKKQdBexzWbz9h045itJT9cgb3kCs9y&#10;0kwaDPpIdc0CI1sn/6LSkjvwUIUzDjrrEkmKYBb93jNtVjWzIuWCUnv7KLr/f7T8w+7OEVliJ+Qj&#10;SgzTWPL9w/f9j1/7n99IPESJGuuniFxZxIb2LbQIP557PIyZt5XT8Y05EfQPxuNeP0eZ7ws6nOSD&#10;yXDYiS3aQDgC8lH/4nw8pIQjIh+P8jwBsicm63x4J0CTaBTUYTGTxmx34wPeCqFHSAzsQclyKZVK&#10;G7dZXylHdgwLv0xPDI+f/AFThjQFHZ0Pe4nZQPy+wykTeUTqoUO8KEOXbrRCu24P2qyhvEdpHHT9&#10;5S1fSrzzDfPhjjlsKNQBRy7c4lIpwJBwsCipwX3913nEY53RS0mDDVpQ/2XLnKBEvTfYARf9wSB2&#10;dNoMhuOotTv1rE89ZquvAKXo43BbnsyID+poVg70Z5zMRYyKLmY4xi5oOJpXoRsbnGwuFosEwh62&#10;LNyYleWROgpmYLENUMlUoChTpw1KHzfYxakIh4mLY3K6T6inv8z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8R9HXXAAAADAEAAA8AAAAAAAAAAQAgAAAAIgAAAGRycy9kb3ducmV2LnhtbFBLAQIU&#10;ABQAAAAIAIdO4kDDjmEVZgIAAK0EAAAOAAAAAAAAAAEAIAAAACYBAABkcnMvZTJvRG9jLnhtbFBL&#10;BQYAAAAABgAGAFkBAAD+BQAAAAA=&#10;">
                <v:fill on="t" focussize="0,0"/>
                <v:stroke on="f" weight="0.5pt"/>
                <v:imagedata o:title=""/>
                <o:lock v:ext="edit" aspectratio="f"/>
                <v:textbox>
                  <w:txbxContent>
                    <w:p>
                      <w:pPr>
                        <w:ind w:firstLine="480"/>
                      </w:pPr>
                    </w:p>
                  </w:txbxContent>
                </v:textbox>
              </v:shape>
            </w:pict>
          </mc:Fallback>
        </mc:AlternateContent>
      </w:r>
    </w:p>
    <w:p>
      <w:pPr>
        <w:pStyle w:val="48"/>
        <w:rPr>
          <w:color w:val="FF0000"/>
          <w:highlight w:val="red"/>
        </w:rPr>
      </w:pPr>
      <w:r>
        <w:rPr>
          <w:rFonts w:hint="eastAsia"/>
        </w:rPr>
        <w:drawing>
          <wp:inline distT="0" distB="0" distL="114300" distR="114300">
            <wp:extent cx="6987540" cy="5487670"/>
            <wp:effectExtent l="0" t="0" r="3810" b="17780"/>
            <wp:docPr id="4" name="图片 148" descr="附图2 项目周边环境敏感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8" descr="附图2 项目周边环境敏感目标图"/>
                    <pic:cNvPicPr>
                      <a:picLocks noChangeAspect="1"/>
                    </pic:cNvPicPr>
                  </pic:nvPicPr>
                  <pic:blipFill>
                    <a:blip r:embed="rId18"/>
                    <a:stretch>
                      <a:fillRect/>
                    </a:stretch>
                  </pic:blipFill>
                  <pic:spPr>
                    <a:xfrm>
                      <a:off x="0" y="0"/>
                      <a:ext cx="6987540" cy="5487670"/>
                    </a:xfrm>
                    <a:prstGeom prst="rect">
                      <a:avLst/>
                    </a:prstGeom>
                    <a:noFill/>
                    <a:ln>
                      <a:noFill/>
                    </a:ln>
                  </pic:spPr>
                </pic:pic>
              </a:graphicData>
            </a:graphic>
          </wp:inline>
        </w:drawing>
      </w:r>
      <w:r>
        <w:rPr>
          <w:highlight w:val="red"/>
        </w:rPr>
        <mc:AlternateContent>
          <mc:Choice Requires="wps">
            <w:drawing>
              <wp:anchor distT="0" distB="0" distL="114300" distR="114300" simplePos="0" relativeHeight="251660288" behindDoc="0" locked="0" layoutInCell="1" allowOverlap="1">
                <wp:simplePos x="0" y="0"/>
                <wp:positionH relativeFrom="column">
                  <wp:posOffset>2731135</wp:posOffset>
                </wp:positionH>
                <wp:positionV relativeFrom="paragraph">
                  <wp:posOffset>1687195</wp:posOffset>
                </wp:positionV>
                <wp:extent cx="459105" cy="1713865"/>
                <wp:effectExtent l="17145" t="1905" r="19050" b="17780"/>
                <wp:wrapNone/>
                <wp:docPr id="1" name="直线 255"/>
                <wp:cNvGraphicFramePr/>
                <a:graphic xmlns:a="http://schemas.openxmlformats.org/drawingml/2006/main">
                  <a:graphicData uri="http://schemas.microsoft.com/office/word/2010/wordprocessingShape">
                    <wps:wsp>
                      <wps:cNvCnPr/>
                      <wps:spPr>
                        <a:xfrm flipH="1">
                          <a:off x="0" y="0"/>
                          <a:ext cx="459105" cy="1713865"/>
                        </a:xfrm>
                        <a:prstGeom prst="line">
                          <a:avLst/>
                        </a:prstGeom>
                        <a:ln w="12700" cap="flat" cmpd="sng">
                          <a:solidFill>
                            <a:srgbClr val="0070C0"/>
                          </a:solidFill>
                          <a:prstDash val="dash"/>
                          <a:headEnd type="none" w="med" len="med"/>
                          <a:tailEnd type="triangle" w="med" len="med"/>
                        </a:ln>
                      </wps:spPr>
                      <wps:bodyPr/>
                    </wps:wsp>
                  </a:graphicData>
                </a:graphic>
              </wp:anchor>
            </w:drawing>
          </mc:Choice>
          <mc:Fallback>
            <w:pict>
              <v:line id="直线 255" o:spid="_x0000_s1026" o:spt="20" style="position:absolute;left:0pt;flip:x;margin-left:215.05pt;margin-top:132.85pt;height:134.95pt;width:36.15pt;z-index:251660288;mso-width-relative:page;mso-height-relative:page;" filled="f" stroked="t" coordsize="21600,21600" o:gfxdata="UEsDBAoAAAAAAIdO4kAAAAAAAAAAAAAAAAAEAAAAZHJzL1BLAwQUAAAACACHTuJA9L6cUd4AAAAL&#10;AQAADwAAAGRycy9kb3ducmV2LnhtbE2PTUvDQBCG74L/YRnBm91N0kSbZlNQqa0ggq1Settmt0kw&#10;Oxuy2w//veOp3maYh3eet5idbceOZvCtQwnRSAAzWDndYi3hcz2/ewDmg0KtOodGwo/xMCuvrwqV&#10;a3fCD3NchZpRCPpcSWhC6HPOfdUYq/zI9QbptneDVYHWoeZ6UCcKtx2Phci4VS3Sh0b15qkx1ffq&#10;YCXMt89fL+9vj5tJm+xfl+tabxbJRMrbm0hMgQVzDhcY/vRJHUpy2rkDas86CeNERIRKiLP0HhgR&#10;qYjHwHY0JGkGvCz4/w7lL1BLAwQUAAAACACHTuJAQwRGAfcBAADkAwAADgAAAGRycy9lMm9Eb2Mu&#10;eG1srVNLjhMxEN0jcQfLe9LdgUyGVjqzSBhYIIgEHKDiT7cl/2R70slZuAYrNhxnrkHZHTIwCGkW&#10;bKxyueqV3/Pz6uZoNDmIEJWzHW1mNSXCMseV7Tv65fPti2tKYgLLQTsrOnoSkd6snz9bjb4Vczc4&#10;zUUgCGJjO/qODin5tqoiG4SBOHNeWDyULhhIuA19xQOMiG50Na/rq2p0gfvgmIgRs9vpkJ4Rw1MA&#10;nZSKia1jd0bYNKEGoSEhpTgoH+m63FZKwdJHKaNIRHcUmaay4hCM93mt1ito+wB+UOx8BXjKFR5x&#10;MqAsDr1AbSEBuQvqLyijWHDRyTRjzlQTkaIIsmjqR9p8GsCLwgWljv4ievx/sOzDYReI4ugESiwY&#10;fPD7r9/uv/8g88UiqzP62GLRxu7CeRf9LmSqRxkMkVr5d7k5Z5AOORZtTxdtxTERhslXi9dNvaCE&#10;4VGzbF5eXxX4asLJ3T7E9FY4Q3LQUa1s5g4tHN7HhLOx9FdJTmtLRoSaL2t8SwboRIkOwNB4ZBNt&#10;X5qj04rfKq1zSwz9fqMDOUB2Q72sN8UACPxHWZ6yhThMdRyjySaDAP7GcpJOHmWy+DtovoIRnBIt&#10;8DPlqBgqgdIPlSkosL3+RzVO1xbZZaEnaXO0d/xUFC95fPzC/2zU7K7f96X74XO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0vpxR3gAAAAsBAAAPAAAAAAAAAAEAIAAAACIAAABkcnMvZG93bnJl&#10;di54bWxQSwECFAAUAAAACACHTuJAQwRGAfcBAADkAwAADgAAAAAAAAABACAAAAAtAQAAZHJzL2Uy&#10;b0RvYy54bWxQSwUGAAAAAAYABgBZAQAAlgUAAAAA&#10;">
                <v:fill on="f" focussize="0,0"/>
                <v:stroke weight="1pt" color="#0070C0" joinstyle="round" dashstyle="dash" endarrow="block"/>
                <v:imagedata o:title=""/>
                <o:lock v:ext="edit" aspectratio="f"/>
              </v:line>
            </w:pict>
          </mc:Fallback>
        </mc:AlternateContent>
      </w:r>
    </w:p>
    <w:p>
      <w:pPr>
        <w:pStyle w:val="48"/>
      </w:pPr>
      <w:r>
        <w:t>图3.1-2 项目周边环境敏感目标图</w:t>
      </w:r>
    </w:p>
    <w:p>
      <w:pPr>
        <w:ind w:firstLine="0" w:firstLineChars="0"/>
        <w:jc w:val="center"/>
        <w:rPr>
          <w:highlight w:val="red"/>
        </w:rPr>
        <w:sectPr>
          <w:pgSz w:w="16838" w:h="11905" w:orient="landscape"/>
          <w:pgMar w:top="1247" w:right="1247" w:bottom="1247" w:left="1247" w:header="709" w:footer="680" w:gutter="0"/>
          <w:cols w:space="720" w:num="1"/>
          <w:docGrid w:type="lines" w:linePitch="326" w:charSpace="0"/>
        </w:sectPr>
      </w:pPr>
    </w:p>
    <w:p>
      <w:pPr>
        <w:ind w:firstLine="0" w:firstLineChars="0"/>
        <w:jc w:val="center"/>
        <w:rPr>
          <w:color w:val="FF0000"/>
        </w:rPr>
      </w:pPr>
      <w:r>
        <w:rPr>
          <w:rFonts w:hint="eastAsia"/>
          <w:color w:val="FF0000"/>
        </w:rPr>
        <w:drawing>
          <wp:inline distT="0" distB="0" distL="114300" distR="114300">
            <wp:extent cx="5967730" cy="8442325"/>
            <wp:effectExtent l="0" t="0" r="13970" b="1587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9"/>
                    <a:stretch>
                      <a:fillRect/>
                    </a:stretch>
                  </pic:blipFill>
                  <pic:spPr>
                    <a:xfrm>
                      <a:off x="0" y="0"/>
                      <a:ext cx="5967730" cy="8442325"/>
                    </a:xfrm>
                    <a:prstGeom prst="rect">
                      <a:avLst/>
                    </a:prstGeom>
                  </pic:spPr>
                </pic:pic>
              </a:graphicData>
            </a:graphic>
          </wp:inline>
        </w:drawing>
      </w:r>
    </w:p>
    <w:p>
      <w:pPr>
        <w:pStyle w:val="48"/>
      </w:pPr>
      <w:r>
        <w:t>图3.1-3 平面布置图</w:t>
      </w:r>
    </w:p>
    <w:p>
      <w:pPr>
        <w:pStyle w:val="4"/>
      </w:pPr>
      <w:bookmarkStart w:id="281" w:name="_Toc27948"/>
      <w:bookmarkStart w:id="282" w:name="_Toc2848"/>
      <w:bookmarkStart w:id="283" w:name="_Toc17329"/>
      <w:bookmarkStart w:id="284" w:name="_Toc22678"/>
      <w:bookmarkStart w:id="285" w:name="_Toc5960"/>
      <w:bookmarkStart w:id="286" w:name="_Toc32071"/>
      <w:bookmarkStart w:id="287" w:name="_Toc15235"/>
      <w:bookmarkStart w:id="288" w:name="_Toc32446"/>
      <w:bookmarkStart w:id="289" w:name="_Toc12079_WPSOffice_Level2"/>
      <w:bookmarkStart w:id="290" w:name="_Toc22963"/>
      <w:bookmarkStart w:id="291" w:name="_Toc21678"/>
      <w:bookmarkStart w:id="292" w:name="_Toc12110_WPSOffice_Level2"/>
      <w:bookmarkStart w:id="293" w:name="_Toc23367"/>
      <w:bookmarkStart w:id="294" w:name="_Toc8189"/>
      <w:bookmarkStart w:id="295" w:name="_Toc508787702"/>
      <w:bookmarkStart w:id="296" w:name="_Toc16565_WPSOffice_Level2"/>
      <w:bookmarkStart w:id="297" w:name="_Toc24890"/>
      <w:bookmarkStart w:id="298" w:name="_Toc25907"/>
      <w:bookmarkStart w:id="299" w:name="_Toc3553"/>
      <w:bookmarkStart w:id="300" w:name="_Toc14080_WPSOffice_Level2"/>
      <w:bookmarkStart w:id="301" w:name="_Toc27975"/>
      <w:bookmarkStart w:id="302" w:name="_Toc27702_WPSOffice_Level2"/>
      <w:bookmarkStart w:id="303" w:name="_Toc29870"/>
      <w:bookmarkStart w:id="304" w:name="_Toc30541"/>
      <w:r>
        <w:t>3.2建设内容</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ind w:firstLine="480"/>
      </w:pPr>
      <w:r>
        <w:t>项目名称：</w:t>
      </w:r>
      <w:r>
        <w:rPr>
          <w:rFonts w:hint="eastAsia"/>
        </w:rPr>
        <w:t>智能木业机械设备制造项目</w:t>
      </w:r>
      <w:r>
        <w:t>；</w:t>
      </w:r>
    </w:p>
    <w:p>
      <w:pPr>
        <w:ind w:firstLine="480"/>
      </w:pPr>
      <w:r>
        <w:t>建设单位：</w:t>
      </w:r>
      <w:r>
        <w:rPr>
          <w:rFonts w:hint="eastAsia"/>
        </w:rPr>
        <w:t>山东德勤智能设备有限公司</w:t>
      </w:r>
      <w:r>
        <w:t>；</w:t>
      </w:r>
    </w:p>
    <w:p>
      <w:pPr>
        <w:ind w:firstLine="480"/>
      </w:pPr>
      <w:r>
        <w:t>建设地点：</w:t>
      </w:r>
      <w:r>
        <w:rPr>
          <w:rFonts w:hint="eastAsia"/>
        </w:rPr>
        <w:t>枣庄市峄城区吴林街道吴林大埝园</w:t>
      </w:r>
      <w:r>
        <w:t>；</w:t>
      </w:r>
    </w:p>
    <w:p>
      <w:pPr>
        <w:ind w:firstLine="480"/>
      </w:pPr>
      <w:r>
        <w:t>建设性质：新建；</w:t>
      </w:r>
    </w:p>
    <w:p>
      <w:pPr>
        <w:ind w:firstLine="480"/>
      </w:pPr>
      <w:r>
        <w:t>行业类别：</w:t>
      </w:r>
      <w:r>
        <w:rPr>
          <w:rFonts w:hint="eastAsia"/>
          <w:color w:val="000000"/>
        </w:rPr>
        <w:t>C3579 其他农、林、牧、渔业机械制造</w:t>
      </w:r>
      <w:r>
        <w:rPr>
          <w:rFonts w:hint="eastAsia"/>
        </w:rPr>
        <w:t>；</w:t>
      </w:r>
    </w:p>
    <w:p>
      <w:pPr>
        <w:widowControl/>
        <w:ind w:firstLine="480"/>
        <w:rPr>
          <w:snapToGrid w:val="0"/>
          <w:kern w:val="0"/>
        </w:rPr>
      </w:pPr>
      <w:r>
        <w:t>项目实际建设内容及规模：生产车间、办公楼一座，购置智能激光切割机、全自动激光除锈机、智能切割机、智能焊接机器人等设备，外购钢材、焊丝、涂料等原料生产智能木业码垛机械设备1000套。</w:t>
      </w:r>
    </w:p>
    <w:p>
      <w:pPr>
        <w:ind w:firstLine="480"/>
      </w:pPr>
      <w:r>
        <w:t>项目投资：项目环评概算总投资</w:t>
      </w:r>
      <w:r>
        <w:rPr>
          <w:rFonts w:hint="eastAsia"/>
        </w:rPr>
        <w:t>4500万元，其中环保投资100万元。实际投资4386.3万元</w:t>
      </w:r>
      <w:r>
        <w:t>，其中环保投资为</w:t>
      </w:r>
      <w:r>
        <w:rPr>
          <w:rFonts w:hint="eastAsia"/>
        </w:rPr>
        <w:t>98.8</w:t>
      </w:r>
      <w:r>
        <w:t>万元，占总投资的</w:t>
      </w:r>
      <w:r>
        <w:rPr>
          <w:rFonts w:hint="eastAsia"/>
        </w:rPr>
        <w:t>2.25</w:t>
      </w:r>
      <w:r>
        <w:t>%。</w:t>
      </w:r>
    </w:p>
    <w:p>
      <w:pPr>
        <w:tabs>
          <w:tab w:val="left" w:pos="3030"/>
        </w:tabs>
        <w:spacing w:line="480" w:lineRule="exact"/>
        <w:ind w:firstLine="480"/>
      </w:pPr>
      <w:r>
        <w:t>劳动定员及工作制：</w:t>
      </w:r>
      <w:r>
        <w:rPr>
          <w:rFonts w:hint="eastAsia"/>
        </w:rPr>
        <w:t>36</w:t>
      </w:r>
      <w:r>
        <w:t>人，</w:t>
      </w:r>
      <w:r>
        <w:rPr>
          <w:rFonts w:hint="eastAsia"/>
        </w:rPr>
        <w:t>一</w:t>
      </w:r>
      <w:r>
        <w:t>班制，</w:t>
      </w:r>
      <w:r>
        <w:rPr>
          <w:rFonts w:hint="eastAsia"/>
        </w:rPr>
        <w:t>白班生产7</w:t>
      </w:r>
      <w:r>
        <w:t>h；年生产300天。</w:t>
      </w:r>
    </w:p>
    <w:p>
      <w:pPr>
        <w:tabs>
          <w:tab w:val="left" w:pos="1361"/>
        </w:tabs>
        <w:spacing w:line="480" w:lineRule="exact"/>
        <w:ind w:firstLine="480"/>
      </w:pPr>
      <w:r>
        <w:rPr>
          <w:rFonts w:hint="eastAsia"/>
        </w:rPr>
        <w:t>环评设计</w:t>
      </w:r>
      <w:r>
        <w:t>总平面布置情况：厂区设置</w:t>
      </w:r>
      <w:r>
        <w:rPr>
          <w:rFonts w:hint="eastAsia"/>
        </w:rPr>
        <w:t>1</w:t>
      </w:r>
      <w:r>
        <w:t>个出入口位于厂区</w:t>
      </w:r>
      <w:r>
        <w:rPr>
          <w:rFonts w:hint="eastAsia"/>
        </w:rPr>
        <w:t>南</w:t>
      </w:r>
      <w:r>
        <w:t>侧，主体上采取由南向北布置，办公楼位于厂区</w:t>
      </w:r>
      <w:r>
        <w:rPr>
          <w:rFonts w:hint="eastAsia"/>
        </w:rPr>
        <w:t>南侧</w:t>
      </w:r>
      <w:r>
        <w:t>，</w:t>
      </w:r>
      <w:r>
        <w:rPr>
          <w:rFonts w:hint="eastAsia"/>
        </w:rPr>
        <w:t>生产车间位于厂区北侧，依次为原料区、成品区、下料区、组装区、焊接区、固化烘干室、喷漆室、喷粉室</w:t>
      </w:r>
      <w:r>
        <w:t>。</w:t>
      </w:r>
    </w:p>
    <w:p>
      <w:pPr>
        <w:ind w:firstLine="480"/>
      </w:pPr>
      <w:bookmarkStart w:id="305" w:name="_Toc31372"/>
      <w:r>
        <w:t>项目建设内容见表3.2-1。</w:t>
      </w:r>
      <w:bookmarkEnd w:id="305"/>
    </w:p>
    <w:p>
      <w:pPr>
        <w:pStyle w:val="48"/>
        <w:rPr>
          <w:highlight w:val="red"/>
        </w:rPr>
        <w:sectPr>
          <w:pgSz w:w="11905" w:h="16838"/>
          <w:pgMar w:top="1247" w:right="1247" w:bottom="1247" w:left="1247" w:header="709" w:footer="680" w:gutter="0"/>
          <w:cols w:space="720" w:num="1"/>
          <w:docGrid w:type="lines" w:linePitch="326" w:charSpace="0"/>
        </w:sectPr>
      </w:pPr>
      <w:bookmarkStart w:id="306" w:name="_Toc8601_WPSOffice_Level3"/>
      <w:bookmarkStart w:id="307" w:name="_Toc32430_WPSOffice_Level3"/>
    </w:p>
    <w:p>
      <w:pPr>
        <w:pStyle w:val="48"/>
      </w:pPr>
      <w:r>
        <w:t>表3.2-1 本次验收项目建设内容一览表</w:t>
      </w:r>
      <w:bookmarkEnd w:id="306"/>
      <w:bookmarkEnd w:id="307"/>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82"/>
        <w:gridCol w:w="281"/>
        <w:gridCol w:w="1975"/>
        <w:gridCol w:w="2826"/>
        <w:gridCol w:w="2258"/>
        <w:gridCol w:w="101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296" w:type="pct"/>
            <w:gridSpan w:val="2"/>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rPr>
            </w:pPr>
            <w:r>
              <w:rPr>
                <w:sz w:val="21"/>
                <w:szCs w:val="21"/>
              </w:rPr>
              <w:t>项目组成</w:t>
            </w:r>
          </w:p>
        </w:tc>
        <w:tc>
          <w:tcPr>
            <w:tcW w:w="1039"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rPr>
            </w:pPr>
            <w:r>
              <w:rPr>
                <w:sz w:val="21"/>
                <w:szCs w:val="21"/>
              </w:rPr>
              <w:t>环评设计主要建设内容</w:t>
            </w:r>
          </w:p>
        </w:tc>
        <w:tc>
          <w:tcPr>
            <w:tcW w:w="1486"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rPr>
            </w:pPr>
            <w:r>
              <w:rPr>
                <w:rFonts w:hint="eastAsia"/>
                <w:sz w:val="21"/>
                <w:szCs w:val="21"/>
              </w:rPr>
              <w:t>环评批复主要内容</w:t>
            </w:r>
          </w:p>
        </w:tc>
        <w:tc>
          <w:tcPr>
            <w:tcW w:w="1188"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rPr>
            </w:pPr>
            <w:r>
              <w:rPr>
                <w:sz w:val="21"/>
                <w:szCs w:val="21"/>
              </w:rPr>
              <w:t>工程实际建设内容</w:t>
            </w:r>
          </w:p>
        </w:tc>
        <w:tc>
          <w:tcPr>
            <w:tcW w:w="535"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rPr>
            </w:pPr>
            <w:r>
              <w:rPr>
                <w:rFonts w:hint="eastAsia"/>
                <w:sz w:val="21"/>
                <w:szCs w:val="21"/>
              </w:rPr>
              <w:t>是否与环评及批复一致</w:t>
            </w:r>
          </w:p>
        </w:tc>
        <w:tc>
          <w:tcPr>
            <w:tcW w:w="454"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主体</w:t>
            </w:r>
          </w:p>
          <w:p>
            <w:pPr>
              <w:pStyle w:val="28"/>
              <w:overflowPunct w:val="0"/>
              <w:spacing w:line="240" w:lineRule="exact"/>
              <w:ind w:left="0" w:firstLine="0" w:firstLineChars="0"/>
              <w:jc w:val="center"/>
              <w:rPr>
                <w:sz w:val="18"/>
                <w:szCs w:val="18"/>
              </w:rPr>
            </w:pPr>
            <w:r>
              <w:rPr>
                <w:sz w:val="18"/>
                <w:szCs w:val="18"/>
              </w:rPr>
              <w:t>工程</w:t>
            </w: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生产车间</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建筑面积4900m</w:t>
            </w:r>
            <w:r>
              <w:rPr>
                <w:sz w:val="18"/>
                <w:szCs w:val="18"/>
                <w:vertAlign w:val="superscript"/>
              </w:rPr>
              <w:t>2</w:t>
            </w:r>
            <w:r>
              <w:rPr>
                <w:sz w:val="18"/>
                <w:szCs w:val="18"/>
              </w:rPr>
              <w:t>（35*140m），1层，内部划分原料区、下料区、焊接区、喷粉室、喷漆室、固化烘干室、组装区、成品区。</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该项目建设地点位于枣庄市峰城区吴林街道吴林大捻园。项目占地面积 7761平方米，新建生产车间、办公楼一座，购置智能激光切割机、全自动激光除锈机、智能切割机、智能焊接机器人等设备，外购钢材、焊丝、涂料等原料生产智能木业码垛机械设备1000套。该项目总投资4500万元，其中环保投资100万元该项目符合国家产业政策，已取得备案文件(备案</w:t>
            </w:r>
            <w:r>
              <w:rPr>
                <w:rFonts w:hint="eastAsia"/>
                <w:sz w:val="18"/>
                <w:szCs w:val="18"/>
              </w:rPr>
              <w:t>号</w:t>
            </w:r>
            <w:r>
              <w:rPr>
                <w:sz w:val="18"/>
                <w:szCs w:val="18"/>
              </w:rPr>
              <w:t>:2203-370404-04-01-581452)。根据环评文件分析，在落实各项环保措施后，所排放的各种污染物能够达到国家相关标准要求对周围环境的影响可满足环境保护的要求。从环保角度分析，本项目建设可行。</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该项目建设地点位于枣庄市峰城区吴林街道吴林大捻园。项目占地面积 7761平方米，新建生产车间、办公楼一座，购置智能激光切割机、全自动激光除锈机、智能切割机、智能焊接机器人等设备，外购钢材、焊丝、涂料等原料生产智能木业码垛机械设备1000套。该项目总投资4</w:t>
            </w:r>
            <w:r>
              <w:rPr>
                <w:rFonts w:hint="eastAsia"/>
                <w:sz w:val="18"/>
                <w:szCs w:val="18"/>
              </w:rPr>
              <w:t>386.3</w:t>
            </w:r>
            <w:r>
              <w:rPr>
                <w:sz w:val="18"/>
                <w:szCs w:val="18"/>
              </w:rPr>
              <w:t>万元，其中环保投资</w:t>
            </w:r>
            <w:r>
              <w:rPr>
                <w:rFonts w:hint="eastAsia"/>
                <w:sz w:val="18"/>
                <w:szCs w:val="18"/>
              </w:rPr>
              <w:t>98.8</w:t>
            </w:r>
            <w:r>
              <w:rPr>
                <w:sz w:val="18"/>
                <w:szCs w:val="18"/>
              </w:rPr>
              <w:t>万元。</w:t>
            </w:r>
          </w:p>
          <w:p>
            <w:pPr>
              <w:pStyle w:val="28"/>
              <w:overflowPunct w:val="0"/>
              <w:spacing w:line="240" w:lineRule="exact"/>
              <w:ind w:left="0" w:firstLine="0" w:firstLineChars="0"/>
              <w:jc w:val="left"/>
              <w:rPr>
                <w:sz w:val="18"/>
                <w:szCs w:val="18"/>
              </w:rPr>
            </w:pPr>
            <w:r>
              <w:rPr>
                <w:sz w:val="18"/>
                <w:szCs w:val="18"/>
              </w:rPr>
              <w:t>建筑面积4900m2（35m*140m），1层，内部划分原料区、下料区、焊接区、喷粉室、喷漆室、固化烘干室、组装区、成品区。</w:t>
            </w:r>
          </w:p>
        </w:tc>
        <w:tc>
          <w:tcPr>
            <w:tcW w:w="535" w:type="pct"/>
            <w:tcBorders>
              <w:tl2br w:val="nil"/>
              <w:tr2bl w:val="nil"/>
            </w:tcBorders>
            <w:vAlign w:val="center"/>
          </w:tcPr>
          <w:p>
            <w:pPr>
              <w:pStyle w:val="28"/>
              <w:overflowPunct w:val="0"/>
              <w:spacing w:line="240" w:lineRule="exact"/>
              <w:ind w:left="0" w:firstLine="0" w:firstLineChars="0"/>
              <w:jc w:val="left"/>
              <w:rPr>
                <w:sz w:val="18"/>
                <w:szCs w:val="18"/>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对现有钢结构厂房进行改造</w:t>
            </w:r>
            <w:r>
              <w:rPr>
                <w:rFonts w:hint="eastAsia"/>
                <w:sz w:val="18"/>
                <w:szCs w:val="18"/>
              </w:rPr>
              <w:t>，并部分新建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辅助工程</w:t>
            </w: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办公楼</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建筑面积1575m</w:t>
            </w:r>
            <w:r>
              <w:rPr>
                <w:sz w:val="18"/>
                <w:szCs w:val="18"/>
                <w:vertAlign w:val="superscript"/>
              </w:rPr>
              <w:t>2</w:t>
            </w:r>
            <w:r>
              <w:rPr>
                <w:sz w:val="18"/>
                <w:szCs w:val="18"/>
              </w:rPr>
              <w:t>（15*35m，3层），位于厂区大门东侧。</w:t>
            </w:r>
          </w:p>
        </w:tc>
        <w:tc>
          <w:tcPr>
            <w:tcW w:w="1486"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新建办公楼一座</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建筑面积1575m</w:t>
            </w:r>
            <w:r>
              <w:rPr>
                <w:sz w:val="18"/>
                <w:szCs w:val="18"/>
                <w:vertAlign w:val="superscript"/>
              </w:rPr>
              <w:t>2</w:t>
            </w:r>
            <w:r>
              <w:rPr>
                <w:sz w:val="18"/>
                <w:szCs w:val="18"/>
              </w:rPr>
              <w:t>（15*35m，3层），位于厂区</w:t>
            </w:r>
            <w:r>
              <w:rPr>
                <w:rFonts w:hint="eastAsia"/>
                <w:sz w:val="18"/>
                <w:szCs w:val="18"/>
              </w:rPr>
              <w:t>南部</w:t>
            </w:r>
            <w:r>
              <w:rPr>
                <w:sz w:val="18"/>
                <w:szCs w:val="18"/>
              </w:rPr>
              <w:t>。</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restar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储运工程</w:t>
            </w: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原料区</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建筑面积640m</w:t>
            </w:r>
            <w:r>
              <w:rPr>
                <w:sz w:val="18"/>
                <w:szCs w:val="18"/>
                <w:vertAlign w:val="superscript"/>
              </w:rPr>
              <w:t>2</w:t>
            </w:r>
            <w:r>
              <w:rPr>
                <w:sz w:val="18"/>
                <w:szCs w:val="18"/>
              </w:rPr>
              <w:t>（40*16m），位于生产车间内部西侧，用于存放配件、原料等</w:t>
            </w:r>
          </w:p>
        </w:tc>
        <w:tc>
          <w:tcPr>
            <w:tcW w:w="1486"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建筑面积640m</w:t>
            </w:r>
            <w:r>
              <w:rPr>
                <w:sz w:val="18"/>
                <w:szCs w:val="18"/>
                <w:vertAlign w:val="superscript"/>
              </w:rPr>
              <w:t>2</w:t>
            </w:r>
            <w:r>
              <w:rPr>
                <w:sz w:val="18"/>
                <w:szCs w:val="18"/>
              </w:rPr>
              <w:t>（40*16m），位于生产车间内部西侧，用于存放配件、原料等</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在生产车间内部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成品区</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建筑面积960m2（60*16m），位于生产车间内部东侧，用于存放成品机器。</w:t>
            </w:r>
          </w:p>
        </w:tc>
        <w:tc>
          <w:tcPr>
            <w:tcW w:w="1486"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建筑面积960m2（60*16m），位于生产车间内部东侧，用于存放成品机器。</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在生产车间内部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253" w:hRule="atLeast"/>
          <w:jc w:val="center"/>
        </w:trPr>
        <w:tc>
          <w:tcPr>
            <w:tcW w:w="148" w:type="pct"/>
            <w:vMerge w:val="restar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公用工程</w:t>
            </w: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给水系统</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生活用水来自园区市政管网，年用新鲜水751.</w:t>
            </w:r>
            <w:r>
              <w:rPr>
                <w:rFonts w:hint="eastAsia"/>
                <w:sz w:val="18"/>
                <w:szCs w:val="18"/>
              </w:rPr>
              <w:t>5</w:t>
            </w:r>
            <w:r>
              <w:rPr>
                <w:sz w:val="18"/>
                <w:szCs w:val="18"/>
              </w:rPr>
              <w:t>m</w:t>
            </w:r>
            <w:r>
              <w:rPr>
                <w:sz w:val="18"/>
                <w:szCs w:val="18"/>
                <w:vertAlign w:val="superscript"/>
              </w:rPr>
              <w:t>3</w:t>
            </w:r>
            <w:r>
              <w:rPr>
                <w:sz w:val="18"/>
                <w:szCs w:val="18"/>
              </w:rPr>
              <w:t>/a</w:t>
            </w:r>
          </w:p>
        </w:tc>
        <w:tc>
          <w:tcPr>
            <w:tcW w:w="1486"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生活用水来自园区市政管网，年用新鲜水</w:t>
            </w:r>
            <w:r>
              <w:rPr>
                <w:rFonts w:hint="eastAsia"/>
                <w:sz w:val="18"/>
                <w:szCs w:val="18"/>
              </w:rPr>
              <w:t>541.5</w:t>
            </w:r>
            <w:r>
              <w:rPr>
                <w:sz w:val="18"/>
                <w:szCs w:val="18"/>
              </w:rPr>
              <w:t>m</w:t>
            </w:r>
            <w:r>
              <w:rPr>
                <w:sz w:val="18"/>
                <w:szCs w:val="18"/>
                <w:vertAlign w:val="superscript"/>
              </w:rPr>
              <w:t>3</w:t>
            </w:r>
            <w:r>
              <w:rPr>
                <w:sz w:val="18"/>
                <w:szCs w:val="18"/>
              </w:rPr>
              <w:t>/a</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自来水管网供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61"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排水系统</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项目按照“清污分流、雨污分流”原则设计排水系统。其中雨水经厂内雨水管网排入厂外雨水系统；本项目废水主要为生活污水，经化粪池处理后由环卫部门定期清运，不外排。</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严格落实水污染防治措施。厂区排水采用“雨污分流制”，雨水经落水管排至室外沟渠。项目废水为生活污水，厂区设置地埋式生活污水处理站 1座，处理工艺为厌氧--好氧一出水出水水质满足《城市污水再生利用 绿地灌溉水质》 (</w:t>
            </w:r>
            <w:r>
              <w:rPr>
                <w:rFonts w:hint="eastAsia"/>
                <w:sz w:val="18"/>
                <w:szCs w:val="18"/>
                <w:highlight w:val="none"/>
                <w:lang w:eastAsia="zh-CN"/>
              </w:rPr>
              <w:t>GB</w:t>
            </w:r>
            <w:r>
              <w:rPr>
                <w:sz w:val="18"/>
                <w:szCs w:val="18"/>
                <w:highlight w:val="none"/>
              </w:rPr>
              <w:t>/T25499-2010)标准后后回用于厂区绿化，不外排。</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项目按照“清污分流、雨污分流”原则设计排水系统。其中雨水经厂内雨水管网排入厂外雨水系统；本项目废水主要为生活污水，经化粪池处理后进入厂区污水处理设施，</w:t>
            </w:r>
            <w:r>
              <w:rPr>
                <w:rFonts w:hint="eastAsia"/>
                <w:sz w:val="18"/>
                <w:szCs w:val="18"/>
                <w:highlight w:val="none"/>
              </w:rPr>
              <w:t>处理工艺为厌氧--好氧--出水，出水水质满足《城市污水再生利用 绿地灌溉水质》 (</w:t>
            </w:r>
            <w:r>
              <w:rPr>
                <w:rFonts w:hint="eastAsia"/>
                <w:sz w:val="18"/>
                <w:szCs w:val="18"/>
                <w:highlight w:val="none"/>
                <w:lang w:eastAsia="zh-CN"/>
              </w:rPr>
              <w:t>GB</w:t>
            </w:r>
            <w:r>
              <w:rPr>
                <w:rFonts w:hint="eastAsia"/>
                <w:sz w:val="18"/>
                <w:szCs w:val="18"/>
                <w:highlight w:val="none"/>
              </w:rPr>
              <w:t>/T25499-2010)标准后，回用于厂区绿化及喷洒厂区路面，不外排。</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与环评批复一致，优于环评报告的废水处置方式。</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供电系统</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项目用电由吴林街道供电所供应，年用电量约35万kWh</w:t>
            </w:r>
            <w:r>
              <w:rPr>
                <w:rFonts w:hint="eastAsia"/>
                <w:sz w:val="18"/>
                <w:szCs w:val="18"/>
              </w:rPr>
              <w:t>.</w:t>
            </w:r>
          </w:p>
        </w:tc>
        <w:tc>
          <w:tcPr>
            <w:tcW w:w="1486"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项目用电由吴林街道供电所供应，年用电量约35万kWh</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供电所供应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供热系统</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固化烘干房采用电加热，办公室冬季供暖采用集中供热</w:t>
            </w:r>
            <w:r>
              <w:rPr>
                <w:rFonts w:hint="eastAsia"/>
                <w:sz w:val="18"/>
                <w:szCs w:val="18"/>
              </w:rPr>
              <w:t>。</w:t>
            </w:r>
          </w:p>
        </w:tc>
        <w:tc>
          <w:tcPr>
            <w:tcW w:w="1486"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固化烘干房采用电加热，办公室冬季供暖采用集中供热</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296" w:type="pct"/>
            <w:gridSpan w:val="2"/>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项目组成</w:t>
            </w:r>
          </w:p>
        </w:tc>
        <w:tc>
          <w:tcPr>
            <w:tcW w:w="1039"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环评设计主要建设内容</w:t>
            </w:r>
          </w:p>
        </w:tc>
        <w:tc>
          <w:tcPr>
            <w:tcW w:w="1486"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rFonts w:hint="eastAsia"/>
                <w:sz w:val="21"/>
                <w:szCs w:val="21"/>
              </w:rPr>
              <w:t>环评批复主要内容</w:t>
            </w:r>
          </w:p>
        </w:tc>
        <w:tc>
          <w:tcPr>
            <w:tcW w:w="1188"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工程实际建设内容</w:t>
            </w:r>
          </w:p>
        </w:tc>
        <w:tc>
          <w:tcPr>
            <w:tcW w:w="535"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rFonts w:hint="eastAsia"/>
                <w:sz w:val="21"/>
                <w:szCs w:val="21"/>
              </w:rPr>
              <w:t>是否与环评及批复一致</w:t>
            </w:r>
          </w:p>
        </w:tc>
        <w:tc>
          <w:tcPr>
            <w:tcW w:w="454"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restar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环保工程</w:t>
            </w:r>
          </w:p>
        </w:tc>
        <w:tc>
          <w:tcPr>
            <w:tcW w:w="148" w:type="pct"/>
            <w:vMerge w:val="restar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废气处理</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机加工粉尘：集气罩（收集效率90%）+布袋除尘器（颗粒物去除效率99%）+1根15m高排气筒（DA001）</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项目废气主要为打磨废气</w:t>
            </w:r>
            <w:r>
              <w:rPr>
                <w:rFonts w:hint="eastAsia"/>
                <w:sz w:val="18"/>
                <w:szCs w:val="18"/>
              </w:rPr>
              <w:t>、</w:t>
            </w:r>
            <w:r>
              <w:rPr>
                <w:sz w:val="18"/>
                <w:szCs w:val="18"/>
              </w:rPr>
              <w:t>喷粉废气、喷漆废气、固化烘干废气、切割废气、焊接烟尘等打磨废气被抽风机收集后通过“集气罩+布袋除尘器”处理由 15m高排气筒 (DA001)排放</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机加工粉尘：集气罩+布袋除尘器（颗粒物去除效率</w:t>
            </w:r>
            <w:r>
              <w:rPr>
                <w:rFonts w:hint="eastAsia"/>
                <w:sz w:val="18"/>
                <w:szCs w:val="18"/>
              </w:rPr>
              <w:t>94.3</w:t>
            </w:r>
            <w:r>
              <w:rPr>
                <w:sz w:val="18"/>
                <w:szCs w:val="18"/>
              </w:rPr>
              <w:t>%）+1根15m高排气筒（DA001）</w:t>
            </w:r>
            <w:r>
              <w:rPr>
                <w:rFonts w:hint="eastAsia"/>
                <w:sz w:val="18"/>
                <w:szCs w:val="18"/>
              </w:rPr>
              <w:t>。</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实际检测进气口浓度较低28</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，所以废气治理设施的实际处理效率低于环评预测效率。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喷粉粉尘：</w:t>
            </w:r>
            <w:r>
              <w:rPr>
                <w:rFonts w:hint="eastAsia"/>
                <w:sz w:val="18"/>
                <w:szCs w:val="18"/>
              </w:rPr>
              <w:t>密闭收集</w:t>
            </w:r>
            <w:r>
              <w:rPr>
                <w:sz w:val="18"/>
                <w:szCs w:val="18"/>
              </w:rPr>
              <w:t>（收集效率9</w:t>
            </w:r>
            <w:r>
              <w:rPr>
                <w:rFonts w:hint="eastAsia"/>
                <w:sz w:val="18"/>
                <w:szCs w:val="18"/>
              </w:rPr>
              <w:t>5</w:t>
            </w:r>
            <w:r>
              <w:rPr>
                <w:sz w:val="18"/>
                <w:szCs w:val="18"/>
              </w:rPr>
              <w:t>%）+</w:t>
            </w:r>
            <w:r>
              <w:rPr>
                <w:rFonts w:hint="eastAsia"/>
                <w:sz w:val="18"/>
                <w:szCs w:val="18"/>
              </w:rPr>
              <w:t>旋风滤芯回收系统（回收效率90%）+</w:t>
            </w:r>
            <w:r>
              <w:rPr>
                <w:sz w:val="18"/>
                <w:szCs w:val="18"/>
              </w:rPr>
              <w:t>布袋除尘器（颗粒物去除效率99%）+1根15m高排气筒（DA002）</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喷粉废气被抽风机收集后通过“集气罩+布袋除尘器”处理由15m高排气简 (DA002)排放</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喷粉粉尘：</w:t>
            </w:r>
            <w:r>
              <w:rPr>
                <w:rFonts w:hint="eastAsia"/>
                <w:sz w:val="18"/>
                <w:szCs w:val="18"/>
              </w:rPr>
              <w:t>密闭收集</w:t>
            </w:r>
            <w:r>
              <w:rPr>
                <w:sz w:val="18"/>
                <w:szCs w:val="18"/>
              </w:rPr>
              <w:t>+</w:t>
            </w:r>
            <w:r>
              <w:rPr>
                <w:rFonts w:hint="eastAsia"/>
                <w:sz w:val="18"/>
                <w:szCs w:val="18"/>
              </w:rPr>
              <w:t>旋风滤芯回收系统+</w:t>
            </w:r>
            <w:r>
              <w:rPr>
                <w:sz w:val="18"/>
                <w:szCs w:val="18"/>
              </w:rPr>
              <w:t>布袋除尘器（颗粒物去除效率</w:t>
            </w:r>
            <w:r>
              <w:rPr>
                <w:rFonts w:hint="eastAsia"/>
                <w:sz w:val="18"/>
                <w:szCs w:val="18"/>
              </w:rPr>
              <w:t>94.2</w:t>
            </w:r>
            <w:r>
              <w:rPr>
                <w:sz w:val="18"/>
                <w:szCs w:val="18"/>
              </w:rPr>
              <w:t>%）+1根15m高排气筒（DA002）</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实际检测进气口浓度较低24</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，所以废气治理设施的实际处理效率低于环评预测效率。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41"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喷漆、固化烘干废气：喷漆房、固化烘干房密闭设置，经负压收集（收集效率95%）后进入“干式过滤 +活性炭吸附浓缩+催化燃烧”处理（颗粒物处理效率9</w:t>
            </w:r>
            <w:r>
              <w:rPr>
                <w:rFonts w:hint="eastAsia"/>
                <w:sz w:val="18"/>
                <w:szCs w:val="18"/>
              </w:rPr>
              <w:t>5</w:t>
            </w:r>
            <w:r>
              <w:rPr>
                <w:sz w:val="18"/>
                <w:szCs w:val="18"/>
              </w:rPr>
              <w:t>%，VOCs处理效率95%），经1根15m排气筒（DA003）排放</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喷漆、烘于固化废气经负压收集+</w:t>
            </w:r>
            <w:r>
              <w:rPr>
                <w:rFonts w:hint="eastAsia"/>
                <w:sz w:val="18"/>
                <w:szCs w:val="18"/>
              </w:rPr>
              <w:t>干</w:t>
            </w:r>
            <w:r>
              <w:rPr>
                <w:sz w:val="18"/>
                <w:szCs w:val="18"/>
              </w:rPr>
              <w:t>式过滤+活性炭吸附浓缩+催化燃烧+15m高排气筒 (DA003)排放</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喷漆、固化烘干废气：喷漆房、固化烘干房密闭设置，经负压收集后进入“干式过滤 +活性炭吸附浓缩+催化燃烧”处理（颗粒物处理效率</w:t>
            </w:r>
            <w:r>
              <w:rPr>
                <w:rFonts w:hint="eastAsia"/>
                <w:sz w:val="18"/>
                <w:szCs w:val="18"/>
              </w:rPr>
              <w:t>93.4</w:t>
            </w:r>
            <w:r>
              <w:rPr>
                <w:sz w:val="18"/>
                <w:szCs w:val="18"/>
              </w:rPr>
              <w:t>%，VOCs处理效率9</w:t>
            </w:r>
            <w:r>
              <w:rPr>
                <w:rFonts w:hint="eastAsia"/>
                <w:sz w:val="18"/>
                <w:szCs w:val="18"/>
              </w:rPr>
              <w:t>8.8</w:t>
            </w:r>
            <w:r>
              <w:rPr>
                <w:sz w:val="18"/>
                <w:szCs w:val="18"/>
              </w:rPr>
              <w:t>%），经1根15m排气筒（DA003）排放</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highlight w:val="yellow"/>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highlight w:val="yellow"/>
              </w:rPr>
            </w:pPr>
            <w:r>
              <w:rPr>
                <w:rFonts w:hint="eastAsia"/>
                <w:sz w:val="18"/>
                <w:szCs w:val="18"/>
              </w:rPr>
              <w:t>实际检测进气口浓度较低25mg</w:t>
            </w:r>
            <w:r>
              <w:rPr>
                <w:rFonts w:ascii="宋体" w:hAnsi="宋体" w:cs="宋体"/>
                <w:color w:val="000000"/>
                <w:kern w:val="0"/>
                <w:sz w:val="20"/>
                <w:szCs w:val="20"/>
                <w:lang w:bidi="ar"/>
              </w:rPr>
              <w:t>/m³</w:t>
            </w:r>
            <w:r>
              <w:rPr>
                <w:rFonts w:hint="eastAsia" w:ascii="宋体" w:hAnsi="宋体" w:cs="宋体"/>
                <w:color w:val="000000"/>
                <w:kern w:val="0"/>
                <w:sz w:val="20"/>
                <w:szCs w:val="20"/>
                <w:lang w:bidi="ar"/>
              </w:rPr>
              <w:t>，所以废气治理设施的实际处理效率低于环评预测效率。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废水</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职工生活污水经化粪池处理后由环卫部门定期清运，不外排。</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项目废水为生活污水，厂区设置地埋式生活污水处理站 1座，处理工艺为厌氧--好氧一出水出水水质满足《城市污水再生利用 绿地灌溉水质》 (</w:t>
            </w:r>
            <w:r>
              <w:rPr>
                <w:rFonts w:hint="eastAsia"/>
                <w:sz w:val="18"/>
                <w:szCs w:val="18"/>
                <w:highlight w:val="none"/>
                <w:lang w:eastAsia="zh-CN"/>
              </w:rPr>
              <w:t>GB</w:t>
            </w:r>
            <w:r>
              <w:rPr>
                <w:sz w:val="18"/>
                <w:szCs w:val="18"/>
                <w:highlight w:val="none"/>
              </w:rPr>
              <w:t>/T25499-2010)标准后后回用于厂区绿化，不外排。</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项目废水主要为生活污水，经化粪池处理后进入厂区污水处理设施，</w:t>
            </w:r>
            <w:r>
              <w:rPr>
                <w:rFonts w:hint="eastAsia"/>
                <w:sz w:val="18"/>
                <w:szCs w:val="18"/>
                <w:highlight w:val="none"/>
              </w:rPr>
              <w:t>处理工艺为厌氧--好氧--出水，出水水质满足《城市污水再生利用 绿地灌溉水质》 (</w:t>
            </w:r>
            <w:r>
              <w:rPr>
                <w:rFonts w:hint="eastAsia"/>
                <w:sz w:val="18"/>
                <w:szCs w:val="18"/>
                <w:highlight w:val="none"/>
                <w:lang w:eastAsia="zh-CN"/>
              </w:rPr>
              <w:t>GB</w:t>
            </w:r>
            <w:r>
              <w:rPr>
                <w:rFonts w:hint="eastAsia"/>
                <w:sz w:val="18"/>
                <w:szCs w:val="18"/>
                <w:highlight w:val="none"/>
              </w:rPr>
              <w:t>/T25499-2010)标准后，回用于厂区绿化及喷洒厂区路面，不外排。</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与环评批复基本一致，优于环评报告的废水处置方式。</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00"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噪声</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本项目选用低噪音设备，用减振、隔声等措施</w:t>
            </w:r>
          </w:p>
        </w:tc>
        <w:tc>
          <w:tcPr>
            <w:tcW w:w="1486"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强化噪声污染防治。本项目噪声主要有切割机、车床电焊机、风机等设备运转产生的噪声。噪声源采取减振、厂房隔声等消声降噪后措施降低噪声影响，确保厂界噪声满足《工业企业厂界环境噪声排放标准》 (GB12348-2008)2类标准要求</w:t>
            </w:r>
            <w:r>
              <w:rPr>
                <w:rFonts w:hint="eastAsia"/>
                <w:sz w:val="18"/>
                <w:szCs w:val="18"/>
              </w:rPr>
              <w:t>。</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本项目噪声源采取减振、厂房隔声等消声降噪</w:t>
            </w:r>
            <w:r>
              <w:rPr>
                <w:rFonts w:hint="eastAsia"/>
                <w:sz w:val="18"/>
                <w:szCs w:val="18"/>
              </w:rPr>
              <w:t>措施。</w:t>
            </w:r>
            <w:r>
              <w:rPr>
                <w:sz w:val="18"/>
                <w:szCs w:val="18"/>
              </w:rPr>
              <w:t>厂界噪声满足《工业企业厂界环境噪声排放标准》 (GB12348-2008)2类标准要求</w:t>
            </w:r>
            <w:r>
              <w:rPr>
                <w:rFonts w:hint="eastAsia"/>
                <w:sz w:val="18"/>
                <w:szCs w:val="18"/>
              </w:rPr>
              <w:t>。</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22" w:hRule="atLeast"/>
          <w:jc w:val="center"/>
        </w:trPr>
        <w:tc>
          <w:tcPr>
            <w:tcW w:w="296" w:type="pct"/>
            <w:gridSpan w:val="2"/>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项目组成</w:t>
            </w:r>
          </w:p>
        </w:tc>
        <w:tc>
          <w:tcPr>
            <w:tcW w:w="1039"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环评设计主要建设内容</w:t>
            </w:r>
          </w:p>
        </w:tc>
        <w:tc>
          <w:tcPr>
            <w:tcW w:w="1486"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rFonts w:hint="eastAsia"/>
                <w:sz w:val="21"/>
                <w:szCs w:val="21"/>
              </w:rPr>
              <w:t>环评批复主要内容</w:t>
            </w:r>
          </w:p>
        </w:tc>
        <w:tc>
          <w:tcPr>
            <w:tcW w:w="1188"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工程实际建设内容</w:t>
            </w:r>
          </w:p>
        </w:tc>
        <w:tc>
          <w:tcPr>
            <w:tcW w:w="535"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rFonts w:hint="eastAsia"/>
                <w:sz w:val="21"/>
                <w:szCs w:val="21"/>
              </w:rPr>
              <w:t>是否与环评及批复一致</w:t>
            </w:r>
          </w:p>
        </w:tc>
        <w:tc>
          <w:tcPr>
            <w:tcW w:w="454" w:type="pct"/>
            <w:tcBorders>
              <w:tl2br w:val="nil"/>
              <w:tr2bl w:val="nil"/>
            </w:tcBorders>
            <w:vAlign w:val="center"/>
          </w:tcPr>
          <w:p>
            <w:pPr>
              <w:pStyle w:val="14"/>
              <w:autoSpaceDE/>
              <w:autoSpaceDN/>
              <w:adjustRightInd/>
              <w:snapToGrid/>
              <w:spacing w:line="240" w:lineRule="exact"/>
              <w:ind w:firstLine="0" w:firstLineChars="0"/>
              <w:jc w:val="center"/>
              <w:textAlignment w:val="auto"/>
              <w:rPr>
                <w:sz w:val="18"/>
                <w:szCs w:val="18"/>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79" w:hRule="atLeast"/>
          <w:jc w:val="center"/>
        </w:trPr>
        <w:tc>
          <w:tcPr>
            <w:tcW w:w="148" w:type="pct"/>
            <w:vMerge w:val="restart"/>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vMerge w:val="restart"/>
            <w:tcBorders>
              <w:tl2br w:val="nil"/>
              <w:tr2bl w:val="nil"/>
            </w:tcBorders>
            <w:vAlign w:val="center"/>
          </w:tcPr>
          <w:p>
            <w:pPr>
              <w:pStyle w:val="28"/>
              <w:overflowPunct w:val="0"/>
              <w:spacing w:line="240" w:lineRule="exact"/>
              <w:ind w:left="0" w:firstLine="0" w:firstLineChars="0"/>
              <w:jc w:val="center"/>
              <w:rPr>
                <w:sz w:val="18"/>
                <w:szCs w:val="18"/>
              </w:rPr>
            </w:pPr>
            <w:r>
              <w:rPr>
                <w:sz w:val="18"/>
                <w:szCs w:val="18"/>
              </w:rPr>
              <w:t>固废</w:t>
            </w: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生活垃圾集中收集，由环卫部门统一清运；</w:t>
            </w:r>
          </w:p>
        </w:tc>
        <w:tc>
          <w:tcPr>
            <w:tcW w:w="1486" w:type="pct"/>
            <w:vMerge w:val="restart"/>
            <w:tcBorders>
              <w:tl2br w:val="nil"/>
              <w:tr2bl w:val="nil"/>
            </w:tcBorders>
            <w:vAlign w:val="center"/>
          </w:tcPr>
          <w:p>
            <w:pPr>
              <w:pStyle w:val="44"/>
              <w:spacing w:line="240" w:lineRule="exact"/>
              <w:ind w:firstLine="360" w:firstLineChars="200"/>
              <w:jc w:val="left"/>
              <w:rPr>
                <w:bCs w:val="0"/>
                <w:sz w:val="18"/>
                <w:szCs w:val="18"/>
                <w:highlight w:val="none"/>
              </w:rPr>
            </w:pPr>
            <w:r>
              <w:rPr>
                <w:bCs w:val="0"/>
                <w:sz w:val="18"/>
                <w:szCs w:val="18"/>
                <w:highlight w:val="none"/>
              </w:rPr>
              <w:t>严格落实固体废物分类处置和综合利用措施。项目主要固废为生活垃圾、下脚料、废焊渣及焊头、塑粉废包装物、机加工除尘器收尘、喷粉除尘器收尘、废切削液及桶、漆渣、废过滤纸、废活性炭、废催化剂、废机油及桶、废漆桶等。生活垃圾由环卫部门清运</w:t>
            </w:r>
            <w:r>
              <w:rPr>
                <w:rFonts w:hint="eastAsia"/>
                <w:bCs w:val="0"/>
                <w:sz w:val="18"/>
                <w:szCs w:val="18"/>
                <w:highlight w:val="none"/>
              </w:rPr>
              <w:t>；</w:t>
            </w:r>
            <w:r>
              <w:rPr>
                <w:bCs w:val="0"/>
                <w:sz w:val="18"/>
                <w:szCs w:val="18"/>
                <w:highlight w:val="none"/>
              </w:rPr>
              <w:t>下脚料、废焊渣及焊头、塑粉废包装物、机加工除尘器收集收尘定期售 于废品收购站，喷粉除尘器收集的粉尘收集后回用于生产，漆渣、废漆桶由供货厂家直接进行回收。一般工业固废存储应满足《一般工业固体废物贮存和填埋污染控制标准》(GB18599-2020)要求</w:t>
            </w:r>
            <w:r>
              <w:rPr>
                <w:rFonts w:hint="eastAsia"/>
                <w:bCs w:val="0"/>
                <w:sz w:val="18"/>
                <w:szCs w:val="18"/>
                <w:highlight w:val="none"/>
              </w:rPr>
              <w:t>。</w:t>
            </w:r>
          </w:p>
          <w:p>
            <w:pPr>
              <w:pStyle w:val="44"/>
              <w:spacing w:line="240" w:lineRule="exact"/>
              <w:ind w:firstLine="360" w:firstLineChars="200"/>
              <w:jc w:val="left"/>
              <w:rPr>
                <w:bCs w:val="0"/>
                <w:sz w:val="18"/>
                <w:szCs w:val="18"/>
                <w:highlight w:val="none"/>
              </w:rPr>
            </w:pPr>
            <w:r>
              <w:rPr>
                <w:bCs w:val="0"/>
                <w:sz w:val="18"/>
                <w:szCs w:val="18"/>
                <w:highlight w:val="none"/>
              </w:rPr>
              <w:t>项目危险废物主要包括废切削液及桶、废机油及桶、废过滤纸、废活性炭、废催化剂委托有资质单位回收处置。在厂内危废暂存间暂存后，委托有资质单位处置。危险废物贮存应符合《危险废物贮存污染控制标准》(</w:t>
            </w:r>
            <w:r>
              <w:rPr>
                <w:rFonts w:hint="eastAsia"/>
                <w:bCs w:val="0"/>
                <w:sz w:val="18"/>
                <w:szCs w:val="18"/>
                <w:highlight w:val="none"/>
                <w:lang w:eastAsia="zh-CN"/>
              </w:rPr>
              <w:t>GB</w:t>
            </w:r>
            <w:r>
              <w:rPr>
                <w:bCs w:val="0"/>
                <w:sz w:val="18"/>
                <w:szCs w:val="18"/>
                <w:highlight w:val="none"/>
              </w:rPr>
              <w:t>18597-2001)及其修改单的要求转移及管理等工作应严格按照危废管理相关要求执行</w:t>
            </w:r>
          </w:p>
          <w:p>
            <w:pPr>
              <w:pStyle w:val="28"/>
              <w:overflowPunct w:val="0"/>
              <w:spacing w:line="240" w:lineRule="exact"/>
              <w:ind w:left="0" w:firstLine="0" w:firstLineChars="0"/>
              <w:jc w:val="left"/>
              <w:rPr>
                <w:sz w:val="18"/>
                <w:szCs w:val="18"/>
                <w:highlight w:val="none"/>
              </w:rPr>
            </w:pPr>
            <w:r>
              <w:rPr>
                <w:sz w:val="18"/>
                <w:szCs w:val="18"/>
                <w:highlight w:val="none"/>
              </w:rPr>
              <w:t>生产中若产生环评文件未包括固体废物，应严格按照固体废物分类处置和综合利用进行管理</w:t>
            </w:r>
          </w:p>
        </w:tc>
        <w:tc>
          <w:tcPr>
            <w:tcW w:w="1188"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生活垃圾集中收集，由环卫部门统一清运；</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76" w:hRule="atLeast"/>
          <w:jc w:val="center"/>
        </w:trPr>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48" w:type="pct"/>
            <w:vMerge w:val="continue"/>
            <w:tcBorders>
              <w:tl2br w:val="nil"/>
              <w:tr2bl w:val="nil"/>
            </w:tcBorders>
            <w:vAlign w:val="center"/>
          </w:tcPr>
          <w:p>
            <w:pPr>
              <w:pStyle w:val="28"/>
              <w:overflowPunct w:val="0"/>
              <w:spacing w:line="240" w:lineRule="exact"/>
              <w:ind w:left="0" w:firstLine="0" w:firstLineChars="0"/>
              <w:jc w:val="center"/>
              <w:rPr>
                <w:sz w:val="18"/>
                <w:szCs w:val="18"/>
              </w:rPr>
            </w:pP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设置一般固废暂存间，位于生产车间内部南侧，建筑面积50m</w:t>
            </w:r>
            <w:r>
              <w:rPr>
                <w:sz w:val="18"/>
                <w:szCs w:val="18"/>
                <w:vertAlign w:val="superscript"/>
              </w:rPr>
              <w:t>2</w:t>
            </w:r>
            <w:r>
              <w:rPr>
                <w:sz w:val="18"/>
                <w:szCs w:val="18"/>
              </w:rPr>
              <w:t>（5*10m）。下脚料、废包装袋、废焊渣及焊头、机加工除尘器收集粉尘</w:t>
            </w:r>
            <w:r>
              <w:rPr>
                <w:rFonts w:hint="eastAsia"/>
                <w:sz w:val="18"/>
                <w:szCs w:val="18"/>
              </w:rPr>
              <w:t>、喷粉布袋除尘器收集粉尘</w:t>
            </w:r>
            <w:r>
              <w:rPr>
                <w:sz w:val="18"/>
                <w:szCs w:val="18"/>
              </w:rPr>
              <w:t>收集后暂存于一般固废暂存间内外售处置，其中漆渣及漆桶由厂家回收。</w:t>
            </w:r>
          </w:p>
        </w:tc>
        <w:tc>
          <w:tcPr>
            <w:tcW w:w="1486" w:type="pct"/>
            <w:vMerge w:val="continue"/>
            <w:tcBorders>
              <w:tl2br w:val="nil"/>
              <w:tr2bl w:val="nil"/>
            </w:tcBorders>
            <w:vAlign w:val="center"/>
          </w:tcPr>
          <w:p>
            <w:pPr>
              <w:pStyle w:val="28"/>
              <w:overflowPunct w:val="0"/>
              <w:spacing w:line="240" w:lineRule="exact"/>
              <w:ind w:left="0" w:firstLine="0" w:firstLineChars="0"/>
              <w:jc w:val="left"/>
              <w:rPr>
                <w:sz w:val="18"/>
                <w:szCs w:val="18"/>
                <w:highlight w:val="none"/>
              </w:rPr>
            </w:pPr>
          </w:p>
        </w:tc>
        <w:tc>
          <w:tcPr>
            <w:tcW w:w="1188"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设置一般固废暂存间，位于生产车间</w:t>
            </w:r>
            <w:r>
              <w:rPr>
                <w:rFonts w:hint="eastAsia"/>
                <w:sz w:val="18"/>
                <w:szCs w:val="18"/>
                <w:highlight w:val="none"/>
              </w:rPr>
              <w:t>外部西侧</w:t>
            </w:r>
            <w:r>
              <w:rPr>
                <w:sz w:val="18"/>
                <w:szCs w:val="18"/>
                <w:highlight w:val="none"/>
              </w:rPr>
              <w:t>，建筑面积</w:t>
            </w:r>
            <w:r>
              <w:rPr>
                <w:rFonts w:hint="eastAsia"/>
                <w:sz w:val="18"/>
                <w:szCs w:val="18"/>
                <w:highlight w:val="none"/>
              </w:rPr>
              <w:t>16</w:t>
            </w:r>
            <w:r>
              <w:rPr>
                <w:sz w:val="18"/>
                <w:szCs w:val="18"/>
                <w:highlight w:val="none"/>
              </w:rPr>
              <w:t>m</w:t>
            </w:r>
            <w:r>
              <w:rPr>
                <w:sz w:val="18"/>
                <w:szCs w:val="18"/>
                <w:highlight w:val="none"/>
                <w:vertAlign w:val="superscript"/>
              </w:rPr>
              <w:t>2</w:t>
            </w:r>
            <w:r>
              <w:rPr>
                <w:sz w:val="18"/>
                <w:szCs w:val="18"/>
                <w:highlight w:val="none"/>
              </w:rPr>
              <w:t>（</w:t>
            </w:r>
            <w:r>
              <w:rPr>
                <w:rFonts w:hint="eastAsia"/>
                <w:sz w:val="18"/>
                <w:szCs w:val="18"/>
                <w:highlight w:val="none"/>
              </w:rPr>
              <w:t>4</w:t>
            </w:r>
            <w:r>
              <w:rPr>
                <w:sz w:val="18"/>
                <w:szCs w:val="18"/>
                <w:highlight w:val="none"/>
              </w:rPr>
              <w:t>*</w:t>
            </w:r>
            <w:r>
              <w:rPr>
                <w:rFonts w:hint="eastAsia"/>
                <w:sz w:val="18"/>
                <w:szCs w:val="18"/>
                <w:highlight w:val="none"/>
              </w:rPr>
              <w:t>4</w:t>
            </w:r>
            <w:r>
              <w:rPr>
                <w:sz w:val="18"/>
                <w:szCs w:val="18"/>
                <w:highlight w:val="none"/>
              </w:rPr>
              <w:t>m）。下脚料、废包装袋、废焊渣及焊头、机加工除尘器收集粉尘</w:t>
            </w:r>
            <w:r>
              <w:rPr>
                <w:rFonts w:hint="eastAsia"/>
                <w:sz w:val="18"/>
                <w:szCs w:val="18"/>
                <w:highlight w:val="none"/>
              </w:rPr>
              <w:t>、喷粉布袋除尘器收集粉尘</w:t>
            </w:r>
            <w:r>
              <w:rPr>
                <w:sz w:val="18"/>
                <w:szCs w:val="18"/>
                <w:highlight w:val="none"/>
              </w:rPr>
              <w:t>收集后暂存于一般固废暂存间内外售处置，其中漆渣及漆桶由厂家回收。满足《一般工业固体废物贮存和填埋污染控制标准》(GB18599-2020)要求</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148" w:type="pct"/>
            <w:vMerge w:val="continue"/>
            <w:tcBorders>
              <w:tl2br w:val="nil"/>
              <w:tr2bl w:val="nil"/>
            </w:tcBorders>
            <w:vAlign w:val="center"/>
          </w:tcPr>
          <w:p>
            <w:pPr>
              <w:pStyle w:val="14"/>
              <w:autoSpaceDE/>
              <w:autoSpaceDN/>
              <w:adjustRightInd/>
              <w:snapToGrid/>
              <w:spacing w:line="240" w:lineRule="exact"/>
              <w:ind w:firstLine="0" w:firstLineChars="0"/>
              <w:jc w:val="center"/>
              <w:textAlignment w:val="auto"/>
              <w:rPr>
                <w:sz w:val="21"/>
                <w:szCs w:val="21"/>
                <w:highlight w:val="red"/>
              </w:rPr>
            </w:pPr>
          </w:p>
        </w:tc>
        <w:tc>
          <w:tcPr>
            <w:tcW w:w="148" w:type="pct"/>
            <w:vMerge w:val="continue"/>
            <w:tcBorders>
              <w:tl2br w:val="nil"/>
              <w:tr2bl w:val="nil"/>
            </w:tcBorders>
            <w:vAlign w:val="center"/>
          </w:tcPr>
          <w:p>
            <w:pPr>
              <w:pStyle w:val="43"/>
              <w:spacing w:before="32" w:after="32" w:line="240" w:lineRule="exact"/>
              <w:rPr>
                <w:rFonts w:ascii="Times New Roman"/>
                <w:sz w:val="21"/>
                <w:szCs w:val="21"/>
                <w:highlight w:val="red"/>
              </w:rPr>
            </w:pPr>
          </w:p>
        </w:tc>
        <w:tc>
          <w:tcPr>
            <w:tcW w:w="1039" w:type="pct"/>
            <w:tcBorders>
              <w:tl2br w:val="nil"/>
              <w:tr2bl w:val="nil"/>
            </w:tcBorders>
            <w:vAlign w:val="center"/>
          </w:tcPr>
          <w:p>
            <w:pPr>
              <w:pStyle w:val="28"/>
              <w:overflowPunct w:val="0"/>
              <w:spacing w:line="240" w:lineRule="exact"/>
              <w:ind w:left="0" w:firstLine="0" w:firstLineChars="0"/>
              <w:jc w:val="left"/>
              <w:rPr>
                <w:sz w:val="18"/>
                <w:szCs w:val="18"/>
              </w:rPr>
            </w:pPr>
            <w:r>
              <w:rPr>
                <w:sz w:val="18"/>
                <w:szCs w:val="18"/>
              </w:rPr>
              <w:t>设置专门的危废暂存间贮存危险废物，位于生产车间内部最南侧，建筑面积50m</w:t>
            </w:r>
            <w:r>
              <w:rPr>
                <w:sz w:val="18"/>
                <w:szCs w:val="18"/>
                <w:vertAlign w:val="superscript"/>
              </w:rPr>
              <w:t>2</w:t>
            </w:r>
            <w:r>
              <w:rPr>
                <w:sz w:val="18"/>
                <w:szCs w:val="18"/>
              </w:rPr>
              <w:t>（5*10m）。危险废物统一收集后暂存于危险废物暂存间，委托有资质单位处理处置。</w:t>
            </w:r>
          </w:p>
        </w:tc>
        <w:tc>
          <w:tcPr>
            <w:tcW w:w="1486" w:type="pct"/>
            <w:vMerge w:val="continue"/>
            <w:tcBorders>
              <w:tl2br w:val="nil"/>
              <w:tr2bl w:val="nil"/>
            </w:tcBorders>
            <w:vAlign w:val="center"/>
          </w:tcPr>
          <w:p>
            <w:pPr>
              <w:pStyle w:val="28"/>
              <w:overflowPunct w:val="0"/>
              <w:spacing w:line="240" w:lineRule="exact"/>
              <w:ind w:left="0" w:firstLine="0" w:firstLineChars="0"/>
              <w:jc w:val="left"/>
              <w:rPr>
                <w:sz w:val="18"/>
                <w:szCs w:val="18"/>
                <w:highlight w:val="none"/>
              </w:rPr>
            </w:pPr>
          </w:p>
        </w:tc>
        <w:tc>
          <w:tcPr>
            <w:tcW w:w="1188" w:type="pct"/>
            <w:tcBorders>
              <w:tl2br w:val="nil"/>
              <w:tr2bl w:val="nil"/>
            </w:tcBorders>
            <w:vAlign w:val="center"/>
          </w:tcPr>
          <w:p>
            <w:pPr>
              <w:pStyle w:val="28"/>
              <w:overflowPunct w:val="0"/>
              <w:spacing w:line="240" w:lineRule="exact"/>
              <w:ind w:left="0" w:firstLine="0" w:firstLineChars="0"/>
              <w:jc w:val="left"/>
              <w:rPr>
                <w:sz w:val="18"/>
                <w:szCs w:val="18"/>
                <w:highlight w:val="none"/>
              </w:rPr>
            </w:pPr>
            <w:r>
              <w:rPr>
                <w:sz w:val="18"/>
                <w:szCs w:val="18"/>
                <w:highlight w:val="none"/>
              </w:rPr>
              <w:t>设置专门的危废暂存间贮存危险废物，位于生产车间</w:t>
            </w:r>
            <w:r>
              <w:rPr>
                <w:rFonts w:hint="eastAsia"/>
                <w:sz w:val="18"/>
                <w:szCs w:val="18"/>
                <w:highlight w:val="none"/>
              </w:rPr>
              <w:t>外部西侧</w:t>
            </w:r>
            <w:r>
              <w:rPr>
                <w:sz w:val="18"/>
                <w:szCs w:val="18"/>
                <w:highlight w:val="none"/>
              </w:rPr>
              <w:t>，建筑面积</w:t>
            </w:r>
            <w:r>
              <w:rPr>
                <w:rFonts w:hint="eastAsia"/>
                <w:sz w:val="18"/>
                <w:szCs w:val="18"/>
                <w:highlight w:val="none"/>
              </w:rPr>
              <w:t>8</w:t>
            </w:r>
            <w:r>
              <w:rPr>
                <w:sz w:val="18"/>
                <w:szCs w:val="18"/>
                <w:highlight w:val="none"/>
              </w:rPr>
              <w:t>m</w:t>
            </w:r>
            <w:r>
              <w:rPr>
                <w:sz w:val="18"/>
                <w:szCs w:val="18"/>
                <w:highlight w:val="none"/>
                <w:vertAlign w:val="superscript"/>
              </w:rPr>
              <w:t>2</w:t>
            </w:r>
            <w:r>
              <w:rPr>
                <w:sz w:val="18"/>
                <w:szCs w:val="18"/>
                <w:highlight w:val="none"/>
              </w:rPr>
              <w:t>（</w:t>
            </w:r>
            <w:r>
              <w:rPr>
                <w:rFonts w:hint="eastAsia"/>
                <w:sz w:val="18"/>
                <w:szCs w:val="18"/>
                <w:highlight w:val="none"/>
              </w:rPr>
              <w:t>4</w:t>
            </w:r>
            <w:r>
              <w:rPr>
                <w:sz w:val="18"/>
                <w:szCs w:val="18"/>
                <w:highlight w:val="none"/>
              </w:rPr>
              <w:t>*</w:t>
            </w:r>
            <w:r>
              <w:rPr>
                <w:rFonts w:hint="eastAsia"/>
                <w:sz w:val="18"/>
                <w:szCs w:val="18"/>
                <w:highlight w:val="none"/>
              </w:rPr>
              <w:t>2</w:t>
            </w:r>
            <w:r>
              <w:rPr>
                <w:sz w:val="18"/>
                <w:szCs w:val="18"/>
                <w:highlight w:val="none"/>
              </w:rPr>
              <w:t>m）。危险废物统一收集后暂存于危险废物暂存间，委托有资质单位处理处置。</w:t>
            </w:r>
            <w:r>
              <w:rPr>
                <w:rFonts w:hint="eastAsia"/>
                <w:sz w:val="18"/>
                <w:szCs w:val="18"/>
                <w:highlight w:val="none"/>
              </w:rPr>
              <w:t>符合《危险废物贮存污染控制标准》(GB 18597-2023)要求。</w:t>
            </w:r>
          </w:p>
        </w:tc>
        <w:tc>
          <w:tcPr>
            <w:tcW w:w="535"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基本一致</w:t>
            </w:r>
          </w:p>
        </w:tc>
        <w:tc>
          <w:tcPr>
            <w:tcW w:w="454" w:type="pct"/>
            <w:tcBorders>
              <w:tl2br w:val="nil"/>
              <w:tr2bl w:val="nil"/>
            </w:tcBorders>
            <w:vAlign w:val="center"/>
          </w:tcPr>
          <w:p>
            <w:pPr>
              <w:pStyle w:val="28"/>
              <w:overflowPunct w:val="0"/>
              <w:spacing w:line="240" w:lineRule="exact"/>
              <w:ind w:left="0" w:firstLine="0" w:firstLineChars="0"/>
              <w:jc w:val="center"/>
              <w:rPr>
                <w:sz w:val="18"/>
                <w:szCs w:val="18"/>
              </w:rPr>
            </w:pPr>
            <w:r>
              <w:rPr>
                <w:rFonts w:hint="eastAsia"/>
                <w:sz w:val="18"/>
                <w:szCs w:val="18"/>
              </w:rPr>
              <w:t>/</w:t>
            </w:r>
          </w:p>
        </w:tc>
      </w:tr>
    </w:tbl>
    <w:p>
      <w:pPr>
        <w:ind w:firstLine="482"/>
        <w:rPr>
          <w:b/>
          <w:bCs/>
        </w:rPr>
      </w:pPr>
      <w:r>
        <w:rPr>
          <w:b/>
          <w:bCs/>
        </w:rPr>
        <w:t>3、主要设备</w:t>
      </w:r>
    </w:p>
    <w:p>
      <w:pPr>
        <w:ind w:firstLine="480"/>
      </w:pPr>
      <w:r>
        <w:t>主要设备见表3.2-2。</w:t>
      </w:r>
    </w:p>
    <w:p>
      <w:pPr>
        <w:ind w:firstLine="480"/>
      </w:pPr>
      <w:r>
        <w:br w:type="page"/>
      </w:r>
    </w:p>
    <w:p>
      <w:pPr>
        <w:pStyle w:val="48"/>
      </w:pPr>
      <w:r>
        <w:t>表3.2-2 主要设备一览表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3"/>
        <w:gridCol w:w="727"/>
        <w:gridCol w:w="1162"/>
        <w:gridCol w:w="837"/>
        <w:gridCol w:w="1293"/>
        <w:gridCol w:w="1380"/>
        <w:gridCol w:w="756"/>
        <w:gridCol w:w="1307"/>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vAlign w:val="center"/>
          </w:tcPr>
          <w:p>
            <w:pPr>
              <w:widowControl/>
              <w:spacing w:line="240" w:lineRule="auto"/>
              <w:ind w:firstLine="0" w:firstLineChars="0"/>
              <w:jc w:val="center"/>
              <w:rPr>
                <w:sz w:val="21"/>
                <w:szCs w:val="21"/>
              </w:rPr>
            </w:pPr>
            <w:bookmarkStart w:id="308" w:name="_Toc16066"/>
            <w:bookmarkStart w:id="309" w:name="_Toc29594"/>
            <w:bookmarkStart w:id="310" w:name="_Toc6805"/>
            <w:bookmarkStart w:id="311" w:name="_Toc4502"/>
            <w:bookmarkStart w:id="312" w:name="_Toc18867"/>
            <w:bookmarkStart w:id="313" w:name="_Toc12891"/>
            <w:bookmarkStart w:id="314" w:name="_Toc508787703"/>
            <w:bookmarkStart w:id="315" w:name="_Toc14073"/>
            <w:bookmarkStart w:id="316" w:name="_Toc28946"/>
            <w:bookmarkStart w:id="317" w:name="_Toc13620"/>
            <w:bookmarkStart w:id="318" w:name="_Toc23111"/>
            <w:bookmarkStart w:id="319" w:name="_Toc31363"/>
            <w:bookmarkStart w:id="320" w:name="_Toc28228"/>
            <w:bookmarkStart w:id="321" w:name="_Toc20816"/>
            <w:bookmarkStart w:id="322" w:name="_Toc26057"/>
            <w:bookmarkStart w:id="323" w:name="_Toc28070_WPSOffice_Level2"/>
            <w:r>
              <w:rPr>
                <w:sz w:val="21"/>
                <w:szCs w:val="21"/>
              </w:rPr>
              <w:t>序号</w:t>
            </w:r>
          </w:p>
        </w:tc>
        <w:tc>
          <w:tcPr>
            <w:tcW w:w="329" w:type="pct"/>
            <w:vMerge w:val="restart"/>
            <w:vAlign w:val="center"/>
          </w:tcPr>
          <w:p>
            <w:pPr>
              <w:spacing w:line="240" w:lineRule="auto"/>
              <w:ind w:firstLine="0" w:firstLineChars="0"/>
              <w:jc w:val="left"/>
              <w:rPr>
                <w:sz w:val="21"/>
                <w:szCs w:val="21"/>
              </w:rPr>
            </w:pPr>
            <w:r>
              <w:rPr>
                <w:bCs/>
                <w:sz w:val="18"/>
                <w:szCs w:val="18"/>
              </w:rPr>
              <w:t>生产单元</w:t>
            </w:r>
          </w:p>
        </w:tc>
        <w:tc>
          <w:tcPr>
            <w:tcW w:w="378" w:type="pct"/>
            <w:vMerge w:val="restart"/>
            <w:vAlign w:val="center"/>
          </w:tcPr>
          <w:p>
            <w:pPr>
              <w:spacing w:line="240" w:lineRule="auto"/>
              <w:ind w:firstLine="0" w:firstLineChars="0"/>
              <w:jc w:val="left"/>
              <w:rPr>
                <w:sz w:val="21"/>
                <w:szCs w:val="21"/>
              </w:rPr>
            </w:pPr>
            <w:r>
              <w:rPr>
                <w:bCs/>
                <w:sz w:val="18"/>
                <w:szCs w:val="18"/>
              </w:rPr>
              <w:t>生产工艺</w:t>
            </w:r>
          </w:p>
        </w:tc>
        <w:tc>
          <w:tcPr>
            <w:tcW w:w="1711" w:type="pct"/>
            <w:gridSpan w:val="3"/>
            <w:vAlign w:val="center"/>
          </w:tcPr>
          <w:p>
            <w:pPr>
              <w:widowControl/>
              <w:spacing w:line="240" w:lineRule="auto"/>
              <w:ind w:firstLine="0" w:firstLineChars="0"/>
              <w:jc w:val="center"/>
              <w:rPr>
                <w:sz w:val="21"/>
                <w:szCs w:val="21"/>
              </w:rPr>
            </w:pPr>
            <w:r>
              <w:rPr>
                <w:sz w:val="21"/>
                <w:szCs w:val="21"/>
              </w:rPr>
              <w:t>环评设计情况</w:t>
            </w:r>
          </w:p>
        </w:tc>
        <w:tc>
          <w:tcPr>
            <w:tcW w:w="1789" w:type="pct"/>
            <w:gridSpan w:val="3"/>
            <w:vAlign w:val="center"/>
          </w:tcPr>
          <w:p>
            <w:pPr>
              <w:widowControl/>
              <w:spacing w:line="240" w:lineRule="auto"/>
              <w:ind w:firstLine="0" w:firstLineChars="0"/>
              <w:jc w:val="center"/>
              <w:rPr>
                <w:sz w:val="21"/>
                <w:szCs w:val="21"/>
              </w:rPr>
            </w:pPr>
            <w:r>
              <w:rPr>
                <w:sz w:val="21"/>
                <w:szCs w:val="21"/>
              </w:rPr>
              <w:t>实际建设情况</w:t>
            </w:r>
          </w:p>
        </w:tc>
        <w:tc>
          <w:tcPr>
            <w:tcW w:w="572" w:type="pct"/>
            <w:vMerge w:val="restart"/>
            <w:vAlign w:val="center"/>
          </w:tcPr>
          <w:p>
            <w:pPr>
              <w:widowControl/>
              <w:spacing w:line="240" w:lineRule="auto"/>
              <w:ind w:firstLine="0" w:firstLineChars="0"/>
              <w:jc w:val="center"/>
              <w:rPr>
                <w:sz w:val="21"/>
                <w:szCs w:val="21"/>
              </w:rPr>
            </w:pPr>
            <w:r>
              <w:rPr>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vAlign w:val="center"/>
          </w:tcPr>
          <w:p>
            <w:pPr>
              <w:widowControl/>
              <w:spacing w:line="240" w:lineRule="auto"/>
              <w:ind w:firstLine="0" w:firstLineChars="0"/>
              <w:jc w:val="center"/>
              <w:rPr>
                <w:sz w:val="21"/>
                <w:szCs w:val="21"/>
                <w:highlight w:val="red"/>
              </w:rPr>
            </w:pPr>
          </w:p>
        </w:tc>
        <w:tc>
          <w:tcPr>
            <w:tcW w:w="329" w:type="pct"/>
            <w:vMerge w:val="continue"/>
            <w:vAlign w:val="center"/>
          </w:tcPr>
          <w:p>
            <w:pPr>
              <w:widowControl/>
              <w:spacing w:line="240" w:lineRule="auto"/>
              <w:ind w:firstLine="0" w:firstLineChars="0"/>
              <w:jc w:val="center"/>
              <w:rPr>
                <w:sz w:val="21"/>
                <w:szCs w:val="21"/>
                <w:highlight w:val="red"/>
              </w:rPr>
            </w:pPr>
          </w:p>
        </w:tc>
        <w:tc>
          <w:tcPr>
            <w:tcW w:w="378" w:type="pct"/>
            <w:vMerge w:val="continue"/>
            <w:vAlign w:val="center"/>
          </w:tcPr>
          <w:p>
            <w:pPr>
              <w:widowControl/>
              <w:spacing w:line="240" w:lineRule="auto"/>
              <w:ind w:firstLine="0" w:firstLineChars="0"/>
              <w:jc w:val="center"/>
              <w:rPr>
                <w:sz w:val="21"/>
                <w:szCs w:val="21"/>
                <w:highlight w:val="red"/>
              </w:rPr>
            </w:pPr>
          </w:p>
        </w:tc>
        <w:tc>
          <w:tcPr>
            <w:tcW w:w="604" w:type="pct"/>
            <w:vAlign w:val="center"/>
          </w:tcPr>
          <w:p>
            <w:pPr>
              <w:spacing w:line="240" w:lineRule="auto"/>
              <w:ind w:firstLine="0" w:firstLineChars="0"/>
              <w:jc w:val="center"/>
              <w:rPr>
                <w:sz w:val="21"/>
                <w:szCs w:val="21"/>
                <w:highlight w:val="red"/>
              </w:rPr>
            </w:pPr>
            <w:r>
              <w:rPr>
                <w:bCs/>
                <w:sz w:val="18"/>
                <w:szCs w:val="18"/>
              </w:rPr>
              <w:t>设备名称</w:t>
            </w:r>
          </w:p>
        </w:tc>
        <w:tc>
          <w:tcPr>
            <w:tcW w:w="435" w:type="pct"/>
            <w:vAlign w:val="center"/>
          </w:tcPr>
          <w:p>
            <w:pPr>
              <w:spacing w:line="240" w:lineRule="auto"/>
              <w:ind w:firstLine="0" w:firstLineChars="0"/>
              <w:jc w:val="center"/>
              <w:rPr>
                <w:bCs/>
                <w:sz w:val="18"/>
                <w:szCs w:val="18"/>
              </w:rPr>
            </w:pPr>
            <w:r>
              <w:rPr>
                <w:bCs/>
                <w:sz w:val="18"/>
                <w:szCs w:val="18"/>
              </w:rPr>
              <w:t>数量</w:t>
            </w:r>
          </w:p>
          <w:p>
            <w:pPr>
              <w:spacing w:line="240" w:lineRule="auto"/>
              <w:ind w:firstLine="0" w:firstLineChars="0"/>
              <w:jc w:val="center"/>
              <w:rPr>
                <w:sz w:val="21"/>
                <w:szCs w:val="21"/>
                <w:highlight w:val="red"/>
              </w:rPr>
            </w:pPr>
            <w:r>
              <w:rPr>
                <w:bCs/>
                <w:sz w:val="18"/>
                <w:szCs w:val="18"/>
              </w:rPr>
              <w:t>(台/套)</w:t>
            </w:r>
          </w:p>
        </w:tc>
        <w:tc>
          <w:tcPr>
            <w:tcW w:w="671" w:type="pct"/>
            <w:vAlign w:val="center"/>
          </w:tcPr>
          <w:p>
            <w:pPr>
              <w:spacing w:line="240" w:lineRule="auto"/>
              <w:ind w:firstLine="0" w:firstLineChars="0"/>
              <w:jc w:val="center"/>
              <w:rPr>
                <w:sz w:val="21"/>
                <w:szCs w:val="21"/>
                <w:highlight w:val="red"/>
              </w:rPr>
            </w:pPr>
            <w:r>
              <w:rPr>
                <w:bCs/>
                <w:sz w:val="18"/>
                <w:szCs w:val="18"/>
              </w:rPr>
              <w:t>设备参数</w:t>
            </w:r>
          </w:p>
        </w:tc>
        <w:tc>
          <w:tcPr>
            <w:tcW w:w="717" w:type="pct"/>
            <w:vAlign w:val="center"/>
          </w:tcPr>
          <w:p>
            <w:pPr>
              <w:spacing w:line="240" w:lineRule="auto"/>
              <w:ind w:firstLine="0" w:firstLineChars="0"/>
              <w:jc w:val="center"/>
              <w:rPr>
                <w:sz w:val="21"/>
                <w:szCs w:val="21"/>
                <w:highlight w:val="red"/>
              </w:rPr>
            </w:pPr>
            <w:r>
              <w:rPr>
                <w:bCs/>
                <w:sz w:val="18"/>
                <w:szCs w:val="18"/>
              </w:rPr>
              <w:t>设备名称</w:t>
            </w:r>
          </w:p>
        </w:tc>
        <w:tc>
          <w:tcPr>
            <w:tcW w:w="393" w:type="pct"/>
            <w:vAlign w:val="center"/>
          </w:tcPr>
          <w:p>
            <w:pPr>
              <w:spacing w:line="240" w:lineRule="auto"/>
              <w:ind w:firstLine="0" w:firstLineChars="0"/>
              <w:jc w:val="center"/>
              <w:rPr>
                <w:sz w:val="21"/>
                <w:szCs w:val="21"/>
                <w:highlight w:val="red"/>
              </w:rPr>
            </w:pPr>
            <w:r>
              <w:rPr>
                <w:bCs/>
                <w:sz w:val="18"/>
                <w:szCs w:val="18"/>
              </w:rPr>
              <w:t>数量(台/套)</w:t>
            </w:r>
          </w:p>
        </w:tc>
        <w:tc>
          <w:tcPr>
            <w:tcW w:w="677" w:type="pct"/>
            <w:vAlign w:val="center"/>
          </w:tcPr>
          <w:p>
            <w:pPr>
              <w:spacing w:line="240" w:lineRule="auto"/>
              <w:ind w:firstLine="0" w:firstLineChars="0"/>
              <w:jc w:val="center"/>
              <w:rPr>
                <w:sz w:val="21"/>
                <w:szCs w:val="21"/>
                <w:highlight w:val="red"/>
              </w:rPr>
            </w:pPr>
            <w:r>
              <w:rPr>
                <w:bCs/>
                <w:sz w:val="18"/>
                <w:szCs w:val="18"/>
              </w:rPr>
              <w:t>设备参数</w:t>
            </w:r>
          </w:p>
        </w:tc>
        <w:tc>
          <w:tcPr>
            <w:tcW w:w="572" w:type="pct"/>
            <w:vMerge w:val="continue"/>
            <w:vAlign w:val="center"/>
          </w:tcPr>
          <w:p>
            <w:pPr>
              <w:widowControl/>
              <w:spacing w:line="240" w:lineRule="auto"/>
              <w:ind w:firstLine="0" w:firstLineChars="0"/>
              <w:jc w:val="center"/>
              <w:rPr>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w:t>
            </w:r>
          </w:p>
        </w:tc>
        <w:tc>
          <w:tcPr>
            <w:tcW w:w="329" w:type="pct"/>
            <w:vMerge w:val="restart"/>
            <w:vAlign w:val="center"/>
          </w:tcPr>
          <w:p>
            <w:pPr>
              <w:spacing w:line="240" w:lineRule="auto"/>
              <w:ind w:firstLine="0" w:firstLineChars="0"/>
              <w:rPr>
                <w:kern w:val="0"/>
                <w:sz w:val="21"/>
                <w:szCs w:val="21"/>
                <w:highlight w:val="red"/>
              </w:rPr>
            </w:pPr>
            <w:r>
              <w:rPr>
                <w:sz w:val="18"/>
                <w:szCs w:val="18"/>
              </w:rPr>
              <w:t>机加工区</w:t>
            </w:r>
          </w:p>
        </w:tc>
        <w:tc>
          <w:tcPr>
            <w:tcW w:w="378" w:type="pct"/>
            <w:vMerge w:val="restart"/>
            <w:vAlign w:val="center"/>
          </w:tcPr>
          <w:p>
            <w:pPr>
              <w:spacing w:line="240" w:lineRule="auto"/>
              <w:ind w:firstLine="0" w:firstLineChars="0"/>
              <w:jc w:val="center"/>
              <w:rPr>
                <w:kern w:val="0"/>
                <w:sz w:val="21"/>
                <w:szCs w:val="21"/>
                <w:highlight w:val="red"/>
              </w:rPr>
            </w:pPr>
            <w:r>
              <w:rPr>
                <w:sz w:val="18"/>
                <w:szCs w:val="18"/>
              </w:rPr>
              <w:t>机加工</w:t>
            </w:r>
          </w:p>
        </w:tc>
        <w:tc>
          <w:tcPr>
            <w:tcW w:w="604" w:type="pct"/>
            <w:vAlign w:val="center"/>
          </w:tcPr>
          <w:p>
            <w:pPr>
              <w:widowControl/>
              <w:spacing w:line="240" w:lineRule="auto"/>
              <w:ind w:firstLine="0" w:firstLineChars="0"/>
              <w:jc w:val="center"/>
              <w:rPr>
                <w:kern w:val="0"/>
                <w:sz w:val="21"/>
                <w:szCs w:val="21"/>
                <w:highlight w:val="red"/>
              </w:rPr>
            </w:pPr>
            <w:r>
              <w:rPr>
                <w:sz w:val="18"/>
                <w:szCs w:val="18"/>
              </w:rPr>
              <w:t>激光切割机</w:t>
            </w:r>
          </w:p>
        </w:tc>
        <w:tc>
          <w:tcPr>
            <w:tcW w:w="435" w:type="pct"/>
            <w:vAlign w:val="center"/>
          </w:tcPr>
          <w:p>
            <w:pPr>
              <w:spacing w:line="240" w:lineRule="auto"/>
              <w:ind w:firstLine="0" w:firstLineChars="0"/>
              <w:jc w:val="center"/>
              <w:rPr>
                <w:sz w:val="21"/>
                <w:szCs w:val="21"/>
                <w:highlight w:val="red"/>
              </w:rPr>
            </w:pPr>
            <w:r>
              <w:rPr>
                <w:sz w:val="18"/>
                <w:szCs w:val="18"/>
              </w:rPr>
              <w:t>1</w:t>
            </w:r>
          </w:p>
        </w:tc>
        <w:tc>
          <w:tcPr>
            <w:tcW w:w="671" w:type="pct"/>
            <w:vAlign w:val="center"/>
          </w:tcPr>
          <w:p>
            <w:pPr>
              <w:spacing w:line="240" w:lineRule="auto"/>
              <w:ind w:firstLine="0" w:firstLineChars="0"/>
              <w:jc w:val="center"/>
              <w:rPr>
                <w:sz w:val="21"/>
                <w:szCs w:val="21"/>
                <w:highlight w:val="red"/>
              </w:rPr>
            </w:pPr>
            <w:r>
              <w:rPr>
                <w:bCs/>
                <w:sz w:val="18"/>
                <w:szCs w:val="18"/>
              </w:rPr>
              <w:t>50mm/min</w:t>
            </w:r>
          </w:p>
        </w:tc>
        <w:tc>
          <w:tcPr>
            <w:tcW w:w="717" w:type="pct"/>
            <w:vAlign w:val="center"/>
          </w:tcPr>
          <w:p>
            <w:pPr>
              <w:widowControl/>
              <w:spacing w:line="240" w:lineRule="auto"/>
              <w:ind w:firstLine="0" w:firstLineChars="0"/>
              <w:jc w:val="center"/>
              <w:rPr>
                <w:sz w:val="18"/>
                <w:szCs w:val="18"/>
              </w:rPr>
            </w:pPr>
            <w:r>
              <w:rPr>
                <w:sz w:val="18"/>
                <w:szCs w:val="18"/>
              </w:rPr>
              <w:t>激光切割机</w:t>
            </w:r>
          </w:p>
        </w:tc>
        <w:tc>
          <w:tcPr>
            <w:tcW w:w="393" w:type="pct"/>
            <w:vAlign w:val="center"/>
          </w:tcPr>
          <w:p>
            <w:pPr>
              <w:widowControl/>
              <w:spacing w:line="240" w:lineRule="auto"/>
              <w:ind w:firstLine="0" w:firstLineChars="0"/>
              <w:jc w:val="center"/>
              <w:rPr>
                <w:sz w:val="18"/>
                <w:szCs w:val="18"/>
              </w:rPr>
            </w:pPr>
            <w:r>
              <w:rPr>
                <w:sz w:val="18"/>
                <w:szCs w:val="18"/>
              </w:rPr>
              <w:t>1</w:t>
            </w:r>
          </w:p>
        </w:tc>
        <w:tc>
          <w:tcPr>
            <w:tcW w:w="677" w:type="pct"/>
            <w:vAlign w:val="center"/>
          </w:tcPr>
          <w:p>
            <w:pPr>
              <w:widowControl/>
              <w:spacing w:line="240" w:lineRule="auto"/>
              <w:ind w:firstLine="0" w:firstLineChars="0"/>
              <w:jc w:val="center"/>
              <w:rPr>
                <w:sz w:val="18"/>
                <w:szCs w:val="18"/>
              </w:rPr>
            </w:pPr>
            <w:r>
              <w:rPr>
                <w:sz w:val="18"/>
                <w:szCs w:val="18"/>
              </w:rPr>
              <w:t>50mm/min</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kern w:val="0"/>
                <w:sz w:val="21"/>
                <w:szCs w:val="21"/>
                <w:highlight w:val="red"/>
              </w:rPr>
            </w:pPr>
            <w:r>
              <w:rPr>
                <w:bCs/>
                <w:sz w:val="18"/>
                <w:szCs w:val="18"/>
              </w:rPr>
              <w:t>2</w:t>
            </w:r>
          </w:p>
        </w:tc>
        <w:tc>
          <w:tcPr>
            <w:tcW w:w="329" w:type="pct"/>
            <w:vMerge w:val="continue"/>
            <w:vAlign w:val="center"/>
          </w:tcPr>
          <w:p>
            <w:pPr>
              <w:spacing w:line="240" w:lineRule="auto"/>
              <w:ind w:firstLine="0" w:firstLineChars="0"/>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lang w:bidi="zh-CN"/>
              </w:rPr>
            </w:pPr>
            <w:r>
              <w:rPr>
                <w:sz w:val="18"/>
                <w:szCs w:val="18"/>
              </w:rPr>
              <w:t>等离子切割机</w:t>
            </w:r>
          </w:p>
        </w:tc>
        <w:tc>
          <w:tcPr>
            <w:tcW w:w="435" w:type="pct"/>
            <w:vAlign w:val="center"/>
          </w:tcPr>
          <w:p>
            <w:pPr>
              <w:spacing w:line="240" w:lineRule="auto"/>
              <w:ind w:firstLine="0" w:firstLineChars="0"/>
              <w:jc w:val="center"/>
              <w:rPr>
                <w:bCs/>
                <w:sz w:val="21"/>
                <w:szCs w:val="21"/>
                <w:highlight w:val="red"/>
              </w:rPr>
            </w:pPr>
            <w:r>
              <w:rPr>
                <w:sz w:val="18"/>
                <w:szCs w:val="18"/>
              </w:rPr>
              <w:t>1</w:t>
            </w:r>
          </w:p>
        </w:tc>
        <w:tc>
          <w:tcPr>
            <w:tcW w:w="671" w:type="pct"/>
            <w:vAlign w:val="center"/>
          </w:tcPr>
          <w:p>
            <w:pPr>
              <w:spacing w:line="240" w:lineRule="auto"/>
              <w:ind w:firstLine="0" w:firstLineChars="0"/>
              <w:jc w:val="center"/>
              <w:rPr>
                <w:bCs/>
                <w:sz w:val="21"/>
                <w:szCs w:val="21"/>
                <w:highlight w:val="red"/>
              </w:rPr>
            </w:pPr>
            <w:r>
              <w:rPr>
                <w:bCs/>
                <w:sz w:val="18"/>
                <w:szCs w:val="18"/>
              </w:rPr>
              <w:t>100mm/min</w:t>
            </w:r>
          </w:p>
        </w:tc>
        <w:tc>
          <w:tcPr>
            <w:tcW w:w="717" w:type="pct"/>
            <w:vAlign w:val="center"/>
          </w:tcPr>
          <w:p>
            <w:pPr>
              <w:widowControl/>
              <w:spacing w:line="240" w:lineRule="auto"/>
              <w:ind w:firstLine="0" w:firstLineChars="0"/>
              <w:jc w:val="center"/>
              <w:rPr>
                <w:sz w:val="18"/>
                <w:szCs w:val="18"/>
              </w:rPr>
            </w:pPr>
            <w:r>
              <w:rPr>
                <w:sz w:val="18"/>
                <w:szCs w:val="18"/>
              </w:rPr>
              <w:t>等离子切割机</w:t>
            </w:r>
          </w:p>
        </w:tc>
        <w:tc>
          <w:tcPr>
            <w:tcW w:w="393" w:type="pct"/>
            <w:vAlign w:val="center"/>
          </w:tcPr>
          <w:p>
            <w:pPr>
              <w:widowControl/>
              <w:spacing w:line="240" w:lineRule="auto"/>
              <w:ind w:firstLine="0" w:firstLineChars="0"/>
              <w:jc w:val="center"/>
              <w:rPr>
                <w:sz w:val="18"/>
                <w:szCs w:val="18"/>
              </w:rPr>
            </w:pPr>
            <w:r>
              <w:rPr>
                <w:rFonts w:hint="eastAsia"/>
                <w:sz w:val="18"/>
                <w:szCs w:val="18"/>
              </w:rPr>
              <w:t>3</w:t>
            </w:r>
          </w:p>
        </w:tc>
        <w:tc>
          <w:tcPr>
            <w:tcW w:w="677" w:type="pct"/>
            <w:vAlign w:val="center"/>
          </w:tcPr>
          <w:p>
            <w:pPr>
              <w:widowControl/>
              <w:spacing w:line="240" w:lineRule="auto"/>
              <w:ind w:firstLine="0" w:firstLineChars="0"/>
              <w:jc w:val="center"/>
              <w:rPr>
                <w:sz w:val="18"/>
                <w:szCs w:val="18"/>
              </w:rPr>
            </w:pPr>
            <w:r>
              <w:rPr>
                <w:sz w:val="18"/>
                <w:szCs w:val="18"/>
              </w:rPr>
              <w:t>100mm/min</w:t>
            </w:r>
          </w:p>
        </w:tc>
        <w:tc>
          <w:tcPr>
            <w:tcW w:w="572" w:type="pct"/>
            <w:vAlign w:val="center"/>
          </w:tcPr>
          <w:p>
            <w:pPr>
              <w:widowControl/>
              <w:spacing w:line="240" w:lineRule="auto"/>
              <w:ind w:firstLine="0" w:firstLineChars="0"/>
              <w:jc w:val="center"/>
              <w:rPr>
                <w:sz w:val="18"/>
                <w:szCs w:val="18"/>
              </w:rPr>
            </w:pPr>
            <w:r>
              <w:rPr>
                <w:sz w:val="18"/>
                <w:szCs w:val="18"/>
              </w:rPr>
              <w:t>数量</w:t>
            </w:r>
            <w:r>
              <w:rPr>
                <w:rFonts w:hint="eastAsia"/>
                <w:sz w:val="18"/>
                <w:szCs w:val="18"/>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3</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lang w:val="zh-CN" w:bidi="zh-CN"/>
              </w:rPr>
            </w:pPr>
            <w:r>
              <w:rPr>
                <w:sz w:val="18"/>
                <w:szCs w:val="18"/>
              </w:rPr>
              <w:t>数控折弯机</w:t>
            </w:r>
          </w:p>
        </w:tc>
        <w:tc>
          <w:tcPr>
            <w:tcW w:w="435" w:type="pct"/>
            <w:vAlign w:val="center"/>
          </w:tcPr>
          <w:p>
            <w:pPr>
              <w:spacing w:line="240" w:lineRule="auto"/>
              <w:ind w:firstLine="0" w:firstLineChars="0"/>
              <w:jc w:val="center"/>
              <w:rPr>
                <w:bCs/>
                <w:sz w:val="21"/>
                <w:szCs w:val="21"/>
                <w:highlight w:val="red"/>
              </w:rPr>
            </w:pPr>
            <w:r>
              <w:rPr>
                <w:sz w:val="18"/>
                <w:szCs w:val="18"/>
              </w:rPr>
              <w:t>1</w:t>
            </w:r>
          </w:p>
        </w:tc>
        <w:tc>
          <w:tcPr>
            <w:tcW w:w="671" w:type="pct"/>
            <w:vAlign w:val="center"/>
          </w:tcPr>
          <w:p>
            <w:pPr>
              <w:spacing w:line="240" w:lineRule="auto"/>
              <w:ind w:firstLine="0" w:firstLineChars="0"/>
              <w:jc w:val="center"/>
              <w:rPr>
                <w:bCs/>
                <w:sz w:val="21"/>
                <w:szCs w:val="21"/>
                <w:highlight w:val="red"/>
              </w:rPr>
            </w:pPr>
            <w:r>
              <w:rPr>
                <w:bCs/>
                <w:sz w:val="18"/>
                <w:szCs w:val="18"/>
              </w:rPr>
              <w:t>10m/h</w:t>
            </w:r>
          </w:p>
        </w:tc>
        <w:tc>
          <w:tcPr>
            <w:tcW w:w="717" w:type="pct"/>
            <w:vAlign w:val="center"/>
          </w:tcPr>
          <w:p>
            <w:pPr>
              <w:widowControl/>
              <w:spacing w:line="240" w:lineRule="auto"/>
              <w:ind w:firstLine="0" w:firstLineChars="0"/>
              <w:jc w:val="center"/>
              <w:rPr>
                <w:sz w:val="18"/>
                <w:szCs w:val="18"/>
              </w:rPr>
            </w:pPr>
            <w:r>
              <w:rPr>
                <w:sz w:val="18"/>
                <w:szCs w:val="18"/>
              </w:rPr>
              <w:t>数控折弯机</w:t>
            </w:r>
          </w:p>
        </w:tc>
        <w:tc>
          <w:tcPr>
            <w:tcW w:w="393" w:type="pct"/>
            <w:vAlign w:val="center"/>
          </w:tcPr>
          <w:p>
            <w:pPr>
              <w:widowControl/>
              <w:spacing w:line="240" w:lineRule="auto"/>
              <w:ind w:firstLine="0" w:firstLineChars="0"/>
              <w:jc w:val="center"/>
              <w:rPr>
                <w:sz w:val="18"/>
                <w:szCs w:val="18"/>
              </w:rPr>
            </w:pPr>
            <w:r>
              <w:rPr>
                <w:sz w:val="18"/>
                <w:szCs w:val="18"/>
              </w:rPr>
              <w:t>1</w:t>
            </w:r>
          </w:p>
        </w:tc>
        <w:tc>
          <w:tcPr>
            <w:tcW w:w="677" w:type="pct"/>
            <w:vAlign w:val="center"/>
          </w:tcPr>
          <w:p>
            <w:pPr>
              <w:widowControl/>
              <w:spacing w:line="240" w:lineRule="auto"/>
              <w:ind w:firstLine="0" w:firstLineChars="0"/>
              <w:jc w:val="center"/>
              <w:rPr>
                <w:sz w:val="18"/>
                <w:szCs w:val="18"/>
              </w:rPr>
            </w:pPr>
            <w:r>
              <w:rPr>
                <w:sz w:val="18"/>
                <w:szCs w:val="18"/>
              </w:rPr>
              <w:t>10m/h</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4</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lang w:val="zh-CN" w:bidi="zh-CN"/>
              </w:rPr>
            </w:pPr>
            <w:r>
              <w:rPr>
                <w:sz w:val="18"/>
                <w:szCs w:val="18"/>
              </w:rPr>
              <w:t>数控车床</w:t>
            </w:r>
          </w:p>
        </w:tc>
        <w:tc>
          <w:tcPr>
            <w:tcW w:w="435" w:type="pct"/>
            <w:vAlign w:val="center"/>
          </w:tcPr>
          <w:p>
            <w:pPr>
              <w:spacing w:line="240" w:lineRule="auto"/>
              <w:ind w:firstLine="0" w:firstLineChars="0"/>
              <w:jc w:val="center"/>
              <w:rPr>
                <w:bCs/>
                <w:sz w:val="21"/>
                <w:szCs w:val="21"/>
                <w:highlight w:val="red"/>
              </w:rPr>
            </w:pPr>
            <w:r>
              <w:rPr>
                <w:sz w:val="18"/>
                <w:szCs w:val="18"/>
              </w:rPr>
              <w:t>2</w:t>
            </w:r>
          </w:p>
        </w:tc>
        <w:tc>
          <w:tcPr>
            <w:tcW w:w="671" w:type="pct"/>
            <w:vAlign w:val="center"/>
          </w:tcPr>
          <w:p>
            <w:pPr>
              <w:spacing w:line="240" w:lineRule="auto"/>
              <w:ind w:firstLine="0" w:firstLineChars="0"/>
              <w:jc w:val="center"/>
              <w:rPr>
                <w:sz w:val="21"/>
                <w:szCs w:val="21"/>
                <w:highlight w:val="red"/>
              </w:rPr>
            </w:pPr>
            <w:r>
              <w:rPr>
                <w:bCs/>
                <w:sz w:val="18"/>
                <w:szCs w:val="18"/>
              </w:rPr>
              <w:t>回转半径650/900mm</w:t>
            </w:r>
          </w:p>
        </w:tc>
        <w:tc>
          <w:tcPr>
            <w:tcW w:w="717" w:type="pct"/>
            <w:vAlign w:val="center"/>
          </w:tcPr>
          <w:p>
            <w:pPr>
              <w:widowControl/>
              <w:spacing w:line="240" w:lineRule="auto"/>
              <w:ind w:firstLine="0" w:firstLineChars="0"/>
              <w:jc w:val="center"/>
              <w:rPr>
                <w:sz w:val="18"/>
                <w:szCs w:val="18"/>
              </w:rPr>
            </w:pPr>
            <w:r>
              <w:rPr>
                <w:sz w:val="18"/>
                <w:szCs w:val="18"/>
              </w:rPr>
              <w:t>数控车床</w:t>
            </w:r>
          </w:p>
        </w:tc>
        <w:tc>
          <w:tcPr>
            <w:tcW w:w="393" w:type="pct"/>
            <w:vAlign w:val="center"/>
          </w:tcPr>
          <w:p>
            <w:pPr>
              <w:widowControl/>
              <w:spacing w:line="240" w:lineRule="auto"/>
              <w:ind w:firstLine="0" w:firstLineChars="0"/>
              <w:jc w:val="center"/>
              <w:rPr>
                <w:sz w:val="18"/>
                <w:szCs w:val="18"/>
              </w:rPr>
            </w:pPr>
            <w:r>
              <w:rPr>
                <w:rFonts w:hint="eastAsia"/>
                <w:sz w:val="18"/>
                <w:szCs w:val="18"/>
              </w:rPr>
              <w:t>1</w:t>
            </w:r>
          </w:p>
        </w:tc>
        <w:tc>
          <w:tcPr>
            <w:tcW w:w="677" w:type="pct"/>
            <w:vAlign w:val="center"/>
          </w:tcPr>
          <w:p>
            <w:pPr>
              <w:widowControl/>
              <w:spacing w:line="240" w:lineRule="auto"/>
              <w:ind w:firstLine="0" w:firstLineChars="0"/>
              <w:jc w:val="center"/>
              <w:rPr>
                <w:sz w:val="18"/>
                <w:szCs w:val="18"/>
              </w:rPr>
            </w:pPr>
            <w:r>
              <w:rPr>
                <w:sz w:val="18"/>
                <w:szCs w:val="18"/>
              </w:rPr>
              <w:t>回转半径650/900mm</w:t>
            </w:r>
          </w:p>
        </w:tc>
        <w:tc>
          <w:tcPr>
            <w:tcW w:w="572" w:type="pct"/>
            <w:vAlign w:val="center"/>
          </w:tcPr>
          <w:p>
            <w:pPr>
              <w:widowControl/>
              <w:spacing w:line="240" w:lineRule="auto"/>
              <w:ind w:firstLine="0" w:firstLineChars="0"/>
              <w:jc w:val="center"/>
              <w:rPr>
                <w:sz w:val="18"/>
                <w:szCs w:val="18"/>
              </w:rPr>
            </w:pPr>
            <w:r>
              <w:rPr>
                <w:rFonts w:hint="eastAsia"/>
                <w:sz w:val="18"/>
                <w:szCs w:val="18"/>
              </w:rPr>
              <w:t>数量减少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5</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lang w:bidi="zh-CN"/>
              </w:rPr>
            </w:pPr>
            <w:r>
              <w:rPr>
                <w:sz w:val="18"/>
                <w:szCs w:val="18"/>
              </w:rPr>
              <w:t>锯床</w:t>
            </w:r>
          </w:p>
        </w:tc>
        <w:tc>
          <w:tcPr>
            <w:tcW w:w="435" w:type="pct"/>
            <w:vAlign w:val="center"/>
          </w:tcPr>
          <w:p>
            <w:pPr>
              <w:spacing w:line="240" w:lineRule="auto"/>
              <w:ind w:firstLine="0" w:firstLineChars="0"/>
              <w:jc w:val="center"/>
              <w:rPr>
                <w:bCs/>
                <w:sz w:val="21"/>
                <w:szCs w:val="21"/>
                <w:highlight w:val="red"/>
              </w:rPr>
            </w:pPr>
            <w:r>
              <w:rPr>
                <w:sz w:val="18"/>
                <w:szCs w:val="18"/>
              </w:rPr>
              <w:t>2</w:t>
            </w:r>
          </w:p>
        </w:tc>
        <w:tc>
          <w:tcPr>
            <w:tcW w:w="671" w:type="pct"/>
            <w:vAlign w:val="center"/>
          </w:tcPr>
          <w:p>
            <w:pPr>
              <w:spacing w:line="240" w:lineRule="auto"/>
              <w:ind w:firstLine="0" w:firstLineChars="0"/>
              <w:jc w:val="center"/>
              <w:rPr>
                <w:bCs/>
                <w:sz w:val="21"/>
                <w:szCs w:val="21"/>
                <w:highlight w:val="red"/>
              </w:rPr>
            </w:pPr>
            <w:r>
              <w:rPr>
                <w:bCs/>
                <w:sz w:val="18"/>
                <w:szCs w:val="18"/>
              </w:rPr>
              <w:t>2kw</w:t>
            </w:r>
          </w:p>
        </w:tc>
        <w:tc>
          <w:tcPr>
            <w:tcW w:w="717" w:type="pct"/>
            <w:vAlign w:val="center"/>
          </w:tcPr>
          <w:p>
            <w:pPr>
              <w:widowControl/>
              <w:spacing w:line="240" w:lineRule="auto"/>
              <w:ind w:firstLine="0" w:firstLineChars="0"/>
              <w:jc w:val="center"/>
              <w:rPr>
                <w:sz w:val="18"/>
                <w:szCs w:val="18"/>
              </w:rPr>
            </w:pPr>
            <w:r>
              <w:rPr>
                <w:sz w:val="18"/>
                <w:szCs w:val="18"/>
              </w:rPr>
              <w:t>锯床</w:t>
            </w:r>
          </w:p>
        </w:tc>
        <w:tc>
          <w:tcPr>
            <w:tcW w:w="393" w:type="pct"/>
            <w:vAlign w:val="center"/>
          </w:tcPr>
          <w:p>
            <w:pPr>
              <w:widowControl/>
              <w:spacing w:line="240" w:lineRule="auto"/>
              <w:ind w:firstLine="0" w:firstLineChars="0"/>
              <w:jc w:val="center"/>
              <w:rPr>
                <w:sz w:val="18"/>
                <w:szCs w:val="18"/>
              </w:rPr>
            </w:pPr>
            <w:r>
              <w:rPr>
                <w:sz w:val="18"/>
                <w:szCs w:val="18"/>
              </w:rPr>
              <w:t>2</w:t>
            </w:r>
          </w:p>
        </w:tc>
        <w:tc>
          <w:tcPr>
            <w:tcW w:w="677" w:type="pct"/>
            <w:vAlign w:val="center"/>
          </w:tcPr>
          <w:p>
            <w:pPr>
              <w:widowControl/>
              <w:spacing w:line="240" w:lineRule="auto"/>
              <w:ind w:firstLine="0" w:firstLineChars="0"/>
              <w:jc w:val="center"/>
              <w:rPr>
                <w:sz w:val="18"/>
                <w:szCs w:val="18"/>
              </w:rPr>
            </w:pPr>
            <w:r>
              <w:rPr>
                <w:sz w:val="18"/>
                <w:szCs w:val="18"/>
              </w:rPr>
              <w:t>2kw</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6</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rPr>
            </w:pPr>
            <w:r>
              <w:rPr>
                <w:sz w:val="18"/>
                <w:szCs w:val="18"/>
              </w:rPr>
              <w:t>摇臂钻床</w:t>
            </w:r>
          </w:p>
        </w:tc>
        <w:tc>
          <w:tcPr>
            <w:tcW w:w="435" w:type="pct"/>
            <w:vAlign w:val="center"/>
          </w:tcPr>
          <w:p>
            <w:pPr>
              <w:spacing w:line="240" w:lineRule="auto"/>
              <w:ind w:firstLine="0" w:firstLineChars="0"/>
              <w:jc w:val="center"/>
              <w:rPr>
                <w:bCs/>
                <w:sz w:val="21"/>
                <w:szCs w:val="21"/>
                <w:highlight w:val="red"/>
              </w:rPr>
            </w:pPr>
            <w:r>
              <w:rPr>
                <w:sz w:val="18"/>
                <w:szCs w:val="18"/>
              </w:rPr>
              <w:t>4</w:t>
            </w:r>
          </w:p>
        </w:tc>
        <w:tc>
          <w:tcPr>
            <w:tcW w:w="671" w:type="pct"/>
            <w:vAlign w:val="center"/>
          </w:tcPr>
          <w:p>
            <w:pPr>
              <w:spacing w:line="240" w:lineRule="auto"/>
              <w:ind w:firstLine="0" w:firstLineChars="0"/>
              <w:jc w:val="center"/>
              <w:rPr>
                <w:bCs/>
                <w:sz w:val="21"/>
                <w:szCs w:val="21"/>
                <w:highlight w:val="red"/>
              </w:rPr>
            </w:pPr>
            <w:r>
              <w:rPr>
                <w:sz w:val="18"/>
                <w:szCs w:val="18"/>
              </w:rPr>
              <w:t>钻孔最大直径50mm；最大行程0.25-3</w:t>
            </w:r>
          </w:p>
        </w:tc>
        <w:tc>
          <w:tcPr>
            <w:tcW w:w="717" w:type="pct"/>
            <w:vAlign w:val="center"/>
          </w:tcPr>
          <w:p>
            <w:pPr>
              <w:widowControl/>
              <w:spacing w:line="240" w:lineRule="auto"/>
              <w:ind w:firstLine="0" w:firstLineChars="0"/>
              <w:jc w:val="center"/>
              <w:rPr>
                <w:sz w:val="18"/>
                <w:szCs w:val="18"/>
              </w:rPr>
            </w:pPr>
            <w:r>
              <w:rPr>
                <w:sz w:val="18"/>
                <w:szCs w:val="18"/>
              </w:rPr>
              <w:t>摇臂钻床</w:t>
            </w:r>
          </w:p>
        </w:tc>
        <w:tc>
          <w:tcPr>
            <w:tcW w:w="393" w:type="pct"/>
            <w:vAlign w:val="center"/>
          </w:tcPr>
          <w:p>
            <w:pPr>
              <w:widowControl/>
              <w:spacing w:line="240" w:lineRule="auto"/>
              <w:ind w:firstLine="0" w:firstLineChars="0"/>
              <w:jc w:val="center"/>
              <w:rPr>
                <w:sz w:val="18"/>
                <w:szCs w:val="18"/>
              </w:rPr>
            </w:pPr>
            <w:r>
              <w:rPr>
                <w:sz w:val="18"/>
                <w:szCs w:val="18"/>
              </w:rPr>
              <w:t>4</w:t>
            </w:r>
          </w:p>
        </w:tc>
        <w:tc>
          <w:tcPr>
            <w:tcW w:w="677" w:type="pct"/>
            <w:vAlign w:val="center"/>
          </w:tcPr>
          <w:p>
            <w:pPr>
              <w:widowControl/>
              <w:spacing w:line="240" w:lineRule="auto"/>
              <w:ind w:firstLine="0" w:firstLineChars="0"/>
              <w:jc w:val="center"/>
              <w:rPr>
                <w:sz w:val="18"/>
                <w:szCs w:val="18"/>
              </w:rPr>
            </w:pPr>
            <w:r>
              <w:rPr>
                <w:sz w:val="18"/>
                <w:szCs w:val="18"/>
              </w:rPr>
              <w:t>钻孔最大直径50mm；最大行程0.25-3</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7</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rPr>
            </w:pPr>
            <w:r>
              <w:rPr>
                <w:sz w:val="18"/>
                <w:szCs w:val="18"/>
              </w:rPr>
              <w:t>普通车床</w:t>
            </w:r>
          </w:p>
        </w:tc>
        <w:tc>
          <w:tcPr>
            <w:tcW w:w="435" w:type="pct"/>
            <w:vAlign w:val="center"/>
          </w:tcPr>
          <w:p>
            <w:pPr>
              <w:spacing w:line="240" w:lineRule="auto"/>
              <w:ind w:firstLine="0" w:firstLineChars="0"/>
              <w:jc w:val="center"/>
              <w:rPr>
                <w:bCs/>
                <w:sz w:val="21"/>
                <w:szCs w:val="21"/>
                <w:highlight w:val="red"/>
              </w:rPr>
            </w:pPr>
            <w:r>
              <w:rPr>
                <w:sz w:val="18"/>
                <w:szCs w:val="18"/>
              </w:rPr>
              <w:t>2</w:t>
            </w:r>
          </w:p>
        </w:tc>
        <w:tc>
          <w:tcPr>
            <w:tcW w:w="671" w:type="pct"/>
            <w:vAlign w:val="center"/>
          </w:tcPr>
          <w:p>
            <w:pPr>
              <w:spacing w:line="240" w:lineRule="auto"/>
              <w:ind w:firstLine="0" w:firstLineChars="0"/>
              <w:jc w:val="center"/>
              <w:rPr>
                <w:bCs/>
                <w:sz w:val="21"/>
                <w:szCs w:val="21"/>
                <w:highlight w:val="red"/>
              </w:rPr>
            </w:pPr>
            <w:r>
              <w:rPr>
                <w:bCs/>
                <w:sz w:val="18"/>
                <w:szCs w:val="18"/>
              </w:rPr>
              <w:t>回转半径500/650mm</w:t>
            </w:r>
          </w:p>
        </w:tc>
        <w:tc>
          <w:tcPr>
            <w:tcW w:w="717" w:type="pct"/>
            <w:vAlign w:val="center"/>
          </w:tcPr>
          <w:p>
            <w:pPr>
              <w:widowControl/>
              <w:spacing w:line="240" w:lineRule="auto"/>
              <w:ind w:firstLine="0" w:firstLineChars="0"/>
              <w:jc w:val="center"/>
              <w:rPr>
                <w:sz w:val="18"/>
                <w:szCs w:val="18"/>
              </w:rPr>
            </w:pPr>
            <w:r>
              <w:rPr>
                <w:sz w:val="18"/>
                <w:szCs w:val="18"/>
              </w:rPr>
              <w:t>普通车床</w:t>
            </w:r>
          </w:p>
        </w:tc>
        <w:tc>
          <w:tcPr>
            <w:tcW w:w="393" w:type="pct"/>
            <w:vAlign w:val="center"/>
          </w:tcPr>
          <w:p>
            <w:pPr>
              <w:widowControl/>
              <w:spacing w:line="240" w:lineRule="auto"/>
              <w:ind w:firstLine="0" w:firstLineChars="0"/>
              <w:jc w:val="center"/>
              <w:rPr>
                <w:sz w:val="18"/>
                <w:szCs w:val="18"/>
              </w:rPr>
            </w:pPr>
            <w:r>
              <w:rPr>
                <w:sz w:val="18"/>
                <w:szCs w:val="18"/>
              </w:rPr>
              <w:t>2</w:t>
            </w:r>
          </w:p>
        </w:tc>
        <w:tc>
          <w:tcPr>
            <w:tcW w:w="677" w:type="pct"/>
            <w:vAlign w:val="center"/>
          </w:tcPr>
          <w:p>
            <w:pPr>
              <w:widowControl/>
              <w:spacing w:line="240" w:lineRule="auto"/>
              <w:ind w:firstLine="0" w:firstLineChars="0"/>
              <w:jc w:val="center"/>
              <w:rPr>
                <w:sz w:val="18"/>
                <w:szCs w:val="18"/>
              </w:rPr>
            </w:pPr>
            <w:r>
              <w:rPr>
                <w:sz w:val="18"/>
                <w:szCs w:val="18"/>
              </w:rPr>
              <w:t>回转半径500/650mm</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 w:type="pct"/>
            <w:vAlign w:val="center"/>
          </w:tcPr>
          <w:p>
            <w:pPr>
              <w:spacing w:line="240" w:lineRule="auto"/>
              <w:ind w:firstLine="0" w:firstLineChars="0"/>
              <w:jc w:val="center"/>
              <w:rPr>
                <w:sz w:val="21"/>
                <w:szCs w:val="21"/>
                <w:highlight w:val="red"/>
              </w:rPr>
            </w:pPr>
            <w:r>
              <w:rPr>
                <w:bCs/>
                <w:sz w:val="18"/>
                <w:szCs w:val="18"/>
              </w:rPr>
              <w:t>8</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lang w:bidi="zh-CN"/>
              </w:rPr>
            </w:pPr>
            <w:r>
              <w:rPr>
                <w:sz w:val="18"/>
                <w:szCs w:val="18"/>
              </w:rPr>
              <w:t>攻丝机</w:t>
            </w:r>
          </w:p>
        </w:tc>
        <w:tc>
          <w:tcPr>
            <w:tcW w:w="435" w:type="pct"/>
            <w:vAlign w:val="center"/>
          </w:tcPr>
          <w:p>
            <w:pPr>
              <w:spacing w:line="240" w:lineRule="auto"/>
              <w:ind w:firstLine="0" w:firstLineChars="0"/>
              <w:jc w:val="center"/>
              <w:rPr>
                <w:bCs/>
                <w:sz w:val="21"/>
                <w:szCs w:val="21"/>
                <w:highlight w:val="red"/>
              </w:rPr>
            </w:pPr>
            <w:r>
              <w:rPr>
                <w:sz w:val="18"/>
                <w:szCs w:val="18"/>
              </w:rPr>
              <w:t>2</w:t>
            </w:r>
          </w:p>
        </w:tc>
        <w:tc>
          <w:tcPr>
            <w:tcW w:w="671" w:type="pct"/>
            <w:vAlign w:val="center"/>
          </w:tcPr>
          <w:p>
            <w:pPr>
              <w:spacing w:line="240" w:lineRule="auto"/>
              <w:ind w:firstLine="0" w:firstLineChars="0"/>
              <w:jc w:val="center"/>
              <w:rPr>
                <w:bCs/>
                <w:sz w:val="21"/>
                <w:szCs w:val="21"/>
                <w:highlight w:val="red"/>
              </w:rPr>
            </w:pPr>
            <w:r>
              <w:rPr>
                <w:bCs/>
                <w:sz w:val="18"/>
                <w:szCs w:val="18"/>
              </w:rPr>
              <w:t>最大M12攻丝直径</w:t>
            </w:r>
          </w:p>
        </w:tc>
        <w:tc>
          <w:tcPr>
            <w:tcW w:w="717" w:type="pct"/>
            <w:vAlign w:val="center"/>
          </w:tcPr>
          <w:p>
            <w:pPr>
              <w:widowControl/>
              <w:spacing w:line="240" w:lineRule="auto"/>
              <w:ind w:firstLine="0" w:firstLineChars="0"/>
              <w:jc w:val="center"/>
              <w:rPr>
                <w:sz w:val="18"/>
                <w:szCs w:val="18"/>
              </w:rPr>
            </w:pPr>
            <w:r>
              <w:rPr>
                <w:sz w:val="18"/>
                <w:szCs w:val="18"/>
              </w:rPr>
              <w:t>攻丝机</w:t>
            </w:r>
          </w:p>
        </w:tc>
        <w:tc>
          <w:tcPr>
            <w:tcW w:w="393" w:type="pct"/>
            <w:vAlign w:val="center"/>
          </w:tcPr>
          <w:p>
            <w:pPr>
              <w:widowControl/>
              <w:spacing w:line="240" w:lineRule="auto"/>
              <w:ind w:firstLine="0" w:firstLineChars="0"/>
              <w:jc w:val="center"/>
              <w:rPr>
                <w:sz w:val="18"/>
                <w:szCs w:val="18"/>
              </w:rPr>
            </w:pPr>
            <w:r>
              <w:rPr>
                <w:rFonts w:hint="eastAsia"/>
                <w:sz w:val="18"/>
                <w:szCs w:val="18"/>
              </w:rPr>
              <w:t>1</w:t>
            </w:r>
          </w:p>
        </w:tc>
        <w:tc>
          <w:tcPr>
            <w:tcW w:w="677" w:type="pct"/>
            <w:vAlign w:val="center"/>
          </w:tcPr>
          <w:p>
            <w:pPr>
              <w:widowControl/>
              <w:spacing w:line="240" w:lineRule="auto"/>
              <w:ind w:firstLine="0" w:firstLineChars="0"/>
              <w:jc w:val="center"/>
              <w:rPr>
                <w:sz w:val="18"/>
                <w:szCs w:val="18"/>
              </w:rPr>
            </w:pPr>
            <w:r>
              <w:rPr>
                <w:sz w:val="18"/>
                <w:szCs w:val="18"/>
              </w:rPr>
              <w:t>最大M12攻丝直径</w:t>
            </w:r>
          </w:p>
        </w:tc>
        <w:tc>
          <w:tcPr>
            <w:tcW w:w="572" w:type="pct"/>
            <w:vAlign w:val="center"/>
          </w:tcPr>
          <w:p>
            <w:pPr>
              <w:widowControl/>
              <w:spacing w:line="240" w:lineRule="auto"/>
              <w:ind w:firstLine="0" w:firstLineChars="0"/>
              <w:jc w:val="center"/>
              <w:rPr>
                <w:sz w:val="18"/>
                <w:szCs w:val="18"/>
              </w:rPr>
            </w:pPr>
            <w:r>
              <w:rPr>
                <w:sz w:val="18"/>
                <w:szCs w:val="18"/>
              </w:rPr>
              <w:t>数量减少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9</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sz w:val="21"/>
                <w:szCs w:val="21"/>
                <w:highlight w:val="red"/>
                <w:lang w:bidi="zh-CN"/>
              </w:rPr>
            </w:pPr>
            <w:r>
              <w:rPr>
                <w:bCs/>
                <w:sz w:val="18"/>
                <w:szCs w:val="18"/>
              </w:rPr>
              <w:t>打磨机</w:t>
            </w:r>
          </w:p>
        </w:tc>
        <w:tc>
          <w:tcPr>
            <w:tcW w:w="435" w:type="pct"/>
            <w:vAlign w:val="center"/>
          </w:tcPr>
          <w:p>
            <w:pPr>
              <w:spacing w:line="240" w:lineRule="auto"/>
              <w:ind w:firstLine="0" w:firstLineChars="0"/>
              <w:jc w:val="center"/>
              <w:rPr>
                <w:bCs/>
                <w:sz w:val="21"/>
                <w:szCs w:val="21"/>
                <w:highlight w:val="red"/>
              </w:rPr>
            </w:pPr>
            <w:r>
              <w:rPr>
                <w:bCs/>
                <w:sz w:val="18"/>
                <w:szCs w:val="18"/>
              </w:rPr>
              <w:t>1</w:t>
            </w:r>
          </w:p>
        </w:tc>
        <w:tc>
          <w:tcPr>
            <w:tcW w:w="671" w:type="pct"/>
            <w:vAlign w:val="center"/>
          </w:tcPr>
          <w:p>
            <w:pPr>
              <w:spacing w:line="240" w:lineRule="auto"/>
              <w:ind w:firstLine="0" w:firstLineChars="0"/>
              <w:jc w:val="center"/>
              <w:rPr>
                <w:bCs/>
                <w:sz w:val="21"/>
                <w:szCs w:val="21"/>
                <w:highlight w:val="red"/>
              </w:rPr>
            </w:pPr>
            <w:r>
              <w:rPr>
                <w:bCs/>
                <w:sz w:val="18"/>
                <w:szCs w:val="18"/>
              </w:rPr>
              <w:t>2kw</w:t>
            </w:r>
          </w:p>
        </w:tc>
        <w:tc>
          <w:tcPr>
            <w:tcW w:w="717" w:type="pct"/>
            <w:vAlign w:val="center"/>
          </w:tcPr>
          <w:p>
            <w:pPr>
              <w:widowControl/>
              <w:spacing w:line="240" w:lineRule="auto"/>
              <w:ind w:firstLine="0" w:firstLineChars="0"/>
              <w:jc w:val="center"/>
              <w:rPr>
                <w:sz w:val="18"/>
                <w:szCs w:val="18"/>
              </w:rPr>
            </w:pPr>
            <w:r>
              <w:rPr>
                <w:sz w:val="18"/>
                <w:szCs w:val="18"/>
              </w:rPr>
              <w:t>打磨机</w:t>
            </w:r>
          </w:p>
        </w:tc>
        <w:tc>
          <w:tcPr>
            <w:tcW w:w="393" w:type="pct"/>
            <w:vAlign w:val="center"/>
          </w:tcPr>
          <w:p>
            <w:pPr>
              <w:widowControl/>
              <w:spacing w:line="240" w:lineRule="auto"/>
              <w:ind w:firstLine="0" w:firstLineChars="0"/>
              <w:jc w:val="center"/>
              <w:rPr>
                <w:sz w:val="18"/>
                <w:szCs w:val="18"/>
              </w:rPr>
            </w:pPr>
            <w:r>
              <w:rPr>
                <w:sz w:val="18"/>
                <w:szCs w:val="18"/>
              </w:rPr>
              <w:t>1</w:t>
            </w:r>
          </w:p>
        </w:tc>
        <w:tc>
          <w:tcPr>
            <w:tcW w:w="677" w:type="pct"/>
            <w:vAlign w:val="center"/>
          </w:tcPr>
          <w:p>
            <w:pPr>
              <w:widowControl/>
              <w:spacing w:line="240" w:lineRule="auto"/>
              <w:ind w:firstLine="0" w:firstLineChars="0"/>
              <w:jc w:val="center"/>
              <w:rPr>
                <w:sz w:val="18"/>
                <w:szCs w:val="18"/>
              </w:rPr>
            </w:pPr>
            <w:r>
              <w:rPr>
                <w:sz w:val="18"/>
                <w:szCs w:val="18"/>
              </w:rPr>
              <w:t>2kw</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10</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widowControl/>
              <w:spacing w:line="240" w:lineRule="auto"/>
              <w:ind w:firstLine="0" w:firstLineChars="0"/>
              <w:jc w:val="center"/>
              <w:rPr>
                <w:bCs/>
                <w:sz w:val="18"/>
                <w:szCs w:val="18"/>
              </w:rPr>
            </w:pPr>
            <w:r>
              <w:rPr>
                <w:rFonts w:hint="eastAsia"/>
                <w:bCs/>
                <w:sz w:val="18"/>
                <w:szCs w:val="18"/>
              </w:rPr>
              <w:t>/</w:t>
            </w:r>
          </w:p>
        </w:tc>
        <w:tc>
          <w:tcPr>
            <w:tcW w:w="435" w:type="pct"/>
            <w:vAlign w:val="center"/>
          </w:tcPr>
          <w:p>
            <w:pPr>
              <w:spacing w:line="240" w:lineRule="auto"/>
              <w:ind w:firstLine="0" w:firstLineChars="0"/>
              <w:jc w:val="center"/>
              <w:rPr>
                <w:bCs/>
                <w:sz w:val="18"/>
                <w:szCs w:val="18"/>
              </w:rPr>
            </w:pPr>
            <w:r>
              <w:rPr>
                <w:rFonts w:hint="eastAsia"/>
                <w:bCs/>
                <w:sz w:val="18"/>
                <w:szCs w:val="18"/>
              </w:rPr>
              <w:t>/</w:t>
            </w:r>
          </w:p>
        </w:tc>
        <w:tc>
          <w:tcPr>
            <w:tcW w:w="671" w:type="pct"/>
            <w:vAlign w:val="center"/>
          </w:tcPr>
          <w:p>
            <w:pPr>
              <w:spacing w:line="240" w:lineRule="auto"/>
              <w:ind w:firstLine="0" w:firstLineChars="0"/>
              <w:jc w:val="center"/>
              <w:rPr>
                <w:bCs/>
                <w:sz w:val="18"/>
                <w:szCs w:val="18"/>
              </w:rPr>
            </w:pPr>
            <w:r>
              <w:rPr>
                <w:rFonts w:hint="eastAsia"/>
                <w:bCs/>
                <w:sz w:val="18"/>
                <w:szCs w:val="18"/>
              </w:rPr>
              <w:t>/</w:t>
            </w:r>
          </w:p>
        </w:tc>
        <w:tc>
          <w:tcPr>
            <w:tcW w:w="717" w:type="pct"/>
            <w:vAlign w:val="center"/>
          </w:tcPr>
          <w:p>
            <w:pPr>
              <w:widowControl/>
              <w:spacing w:line="240" w:lineRule="auto"/>
              <w:ind w:firstLine="0" w:firstLineChars="0"/>
              <w:jc w:val="center"/>
              <w:rPr>
                <w:sz w:val="18"/>
                <w:szCs w:val="18"/>
              </w:rPr>
            </w:pPr>
            <w:r>
              <w:rPr>
                <w:rFonts w:hint="eastAsia"/>
                <w:sz w:val="18"/>
                <w:szCs w:val="18"/>
              </w:rPr>
              <w:t>卷板机</w:t>
            </w:r>
          </w:p>
        </w:tc>
        <w:tc>
          <w:tcPr>
            <w:tcW w:w="393" w:type="pct"/>
            <w:vAlign w:val="center"/>
          </w:tcPr>
          <w:p>
            <w:pPr>
              <w:widowControl/>
              <w:spacing w:line="240" w:lineRule="auto"/>
              <w:ind w:firstLine="0" w:firstLineChars="0"/>
              <w:jc w:val="center"/>
              <w:rPr>
                <w:sz w:val="18"/>
                <w:szCs w:val="18"/>
              </w:rPr>
            </w:pPr>
            <w:r>
              <w:rPr>
                <w:rFonts w:hint="eastAsia"/>
                <w:sz w:val="18"/>
                <w:szCs w:val="18"/>
              </w:rPr>
              <w:t>1</w:t>
            </w:r>
          </w:p>
        </w:tc>
        <w:tc>
          <w:tcPr>
            <w:tcW w:w="677" w:type="pct"/>
            <w:vAlign w:val="center"/>
          </w:tcPr>
          <w:p>
            <w:pPr>
              <w:widowControl/>
              <w:spacing w:line="240" w:lineRule="auto"/>
              <w:ind w:firstLine="0" w:firstLineChars="0"/>
              <w:jc w:val="center"/>
              <w:rPr>
                <w:sz w:val="18"/>
                <w:szCs w:val="18"/>
              </w:rPr>
            </w:pPr>
            <w:r>
              <w:rPr>
                <w:rFonts w:hint="eastAsia"/>
                <w:sz w:val="18"/>
                <w:szCs w:val="18"/>
              </w:rPr>
              <w:t>卷圆直径2m</w:t>
            </w:r>
          </w:p>
        </w:tc>
        <w:tc>
          <w:tcPr>
            <w:tcW w:w="572" w:type="pct"/>
            <w:vAlign w:val="center"/>
          </w:tcPr>
          <w:p>
            <w:pPr>
              <w:widowControl/>
              <w:spacing w:line="240" w:lineRule="auto"/>
              <w:ind w:firstLine="0" w:firstLineChars="0"/>
              <w:jc w:val="center"/>
              <w:rPr>
                <w:sz w:val="18"/>
                <w:szCs w:val="18"/>
              </w:rPr>
            </w:pPr>
            <w:r>
              <w:rPr>
                <w:rFonts w:hint="eastAsia"/>
                <w:sz w:val="18"/>
                <w:szCs w:val="18"/>
              </w:rPr>
              <w:t>新增设备1,不新增产能。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11</w:t>
            </w:r>
          </w:p>
        </w:tc>
        <w:tc>
          <w:tcPr>
            <w:tcW w:w="329" w:type="pct"/>
            <w:vMerge w:val="restart"/>
            <w:vAlign w:val="center"/>
          </w:tcPr>
          <w:p>
            <w:pPr>
              <w:spacing w:line="240" w:lineRule="auto"/>
              <w:ind w:firstLine="0" w:firstLineChars="0"/>
              <w:jc w:val="center"/>
              <w:rPr>
                <w:sz w:val="21"/>
                <w:szCs w:val="21"/>
                <w:highlight w:val="red"/>
              </w:rPr>
            </w:pPr>
            <w:r>
              <w:rPr>
                <w:sz w:val="18"/>
                <w:szCs w:val="18"/>
              </w:rPr>
              <w:t>焊接区</w:t>
            </w:r>
          </w:p>
        </w:tc>
        <w:tc>
          <w:tcPr>
            <w:tcW w:w="378" w:type="pct"/>
            <w:vMerge w:val="restart"/>
            <w:vAlign w:val="center"/>
          </w:tcPr>
          <w:p>
            <w:pPr>
              <w:spacing w:line="240" w:lineRule="auto"/>
              <w:ind w:firstLine="0" w:firstLineChars="0"/>
              <w:jc w:val="center"/>
              <w:rPr>
                <w:sz w:val="21"/>
                <w:szCs w:val="21"/>
                <w:highlight w:val="red"/>
              </w:rPr>
            </w:pPr>
            <w:r>
              <w:rPr>
                <w:sz w:val="18"/>
                <w:szCs w:val="18"/>
              </w:rPr>
              <w:t>装配</w:t>
            </w:r>
          </w:p>
        </w:tc>
        <w:tc>
          <w:tcPr>
            <w:tcW w:w="604" w:type="pct"/>
            <w:vAlign w:val="center"/>
          </w:tcPr>
          <w:p>
            <w:pPr>
              <w:widowControl/>
              <w:spacing w:line="240" w:lineRule="auto"/>
              <w:ind w:firstLine="0" w:firstLineChars="0"/>
              <w:jc w:val="center"/>
              <w:rPr>
                <w:sz w:val="21"/>
                <w:szCs w:val="21"/>
                <w:highlight w:val="red"/>
                <w:lang w:bidi="zh-CN"/>
              </w:rPr>
            </w:pPr>
            <w:r>
              <w:rPr>
                <w:sz w:val="18"/>
                <w:szCs w:val="18"/>
              </w:rPr>
              <w:t>焊接机器人</w:t>
            </w:r>
          </w:p>
        </w:tc>
        <w:tc>
          <w:tcPr>
            <w:tcW w:w="435" w:type="pct"/>
            <w:vAlign w:val="center"/>
          </w:tcPr>
          <w:p>
            <w:pPr>
              <w:spacing w:line="240" w:lineRule="auto"/>
              <w:ind w:firstLine="0" w:firstLineChars="0"/>
              <w:jc w:val="center"/>
              <w:rPr>
                <w:bCs/>
                <w:sz w:val="21"/>
                <w:szCs w:val="21"/>
                <w:highlight w:val="red"/>
              </w:rPr>
            </w:pPr>
            <w:r>
              <w:rPr>
                <w:sz w:val="18"/>
                <w:szCs w:val="18"/>
              </w:rPr>
              <w:t>2</w:t>
            </w:r>
          </w:p>
        </w:tc>
        <w:tc>
          <w:tcPr>
            <w:tcW w:w="671" w:type="pct"/>
            <w:vAlign w:val="center"/>
          </w:tcPr>
          <w:p>
            <w:pPr>
              <w:spacing w:line="240" w:lineRule="auto"/>
              <w:ind w:firstLine="0" w:firstLineChars="0"/>
              <w:jc w:val="center"/>
              <w:rPr>
                <w:sz w:val="21"/>
                <w:szCs w:val="21"/>
                <w:highlight w:val="red"/>
              </w:rPr>
            </w:pPr>
            <w:r>
              <w:rPr>
                <w:bCs/>
                <w:sz w:val="18"/>
                <w:szCs w:val="18"/>
              </w:rPr>
              <w:t>5kw</w:t>
            </w:r>
          </w:p>
        </w:tc>
        <w:tc>
          <w:tcPr>
            <w:tcW w:w="717" w:type="pct"/>
            <w:vAlign w:val="center"/>
          </w:tcPr>
          <w:p>
            <w:pPr>
              <w:widowControl/>
              <w:spacing w:line="240" w:lineRule="auto"/>
              <w:ind w:firstLine="0" w:firstLineChars="0"/>
              <w:jc w:val="center"/>
              <w:rPr>
                <w:sz w:val="18"/>
                <w:szCs w:val="18"/>
              </w:rPr>
            </w:pPr>
            <w:r>
              <w:rPr>
                <w:sz w:val="18"/>
                <w:szCs w:val="18"/>
              </w:rPr>
              <w:t>焊接机器人</w:t>
            </w:r>
          </w:p>
        </w:tc>
        <w:tc>
          <w:tcPr>
            <w:tcW w:w="393" w:type="pct"/>
            <w:vAlign w:val="center"/>
          </w:tcPr>
          <w:p>
            <w:pPr>
              <w:widowControl/>
              <w:spacing w:line="240" w:lineRule="auto"/>
              <w:ind w:firstLine="0" w:firstLineChars="0"/>
              <w:jc w:val="center"/>
              <w:rPr>
                <w:sz w:val="18"/>
                <w:szCs w:val="18"/>
              </w:rPr>
            </w:pPr>
            <w:r>
              <w:rPr>
                <w:rFonts w:hint="eastAsia"/>
                <w:sz w:val="18"/>
                <w:szCs w:val="18"/>
              </w:rPr>
              <w:t>3</w:t>
            </w:r>
          </w:p>
        </w:tc>
        <w:tc>
          <w:tcPr>
            <w:tcW w:w="677" w:type="pct"/>
            <w:vAlign w:val="center"/>
          </w:tcPr>
          <w:p>
            <w:pPr>
              <w:widowControl/>
              <w:spacing w:line="240" w:lineRule="auto"/>
              <w:ind w:firstLine="0" w:firstLineChars="0"/>
              <w:jc w:val="center"/>
              <w:rPr>
                <w:sz w:val="18"/>
                <w:szCs w:val="18"/>
              </w:rPr>
            </w:pPr>
            <w:r>
              <w:rPr>
                <w:sz w:val="18"/>
                <w:szCs w:val="18"/>
              </w:rPr>
              <w:t>5kw</w:t>
            </w:r>
          </w:p>
        </w:tc>
        <w:tc>
          <w:tcPr>
            <w:tcW w:w="572" w:type="pct"/>
            <w:vAlign w:val="center"/>
          </w:tcPr>
          <w:p>
            <w:pPr>
              <w:widowControl/>
              <w:spacing w:line="240" w:lineRule="auto"/>
              <w:ind w:firstLine="0" w:firstLineChars="0"/>
              <w:jc w:val="center"/>
              <w:rPr>
                <w:sz w:val="18"/>
                <w:szCs w:val="18"/>
              </w:rPr>
            </w:pPr>
            <w:r>
              <w:rPr>
                <w:sz w:val="18"/>
                <w:szCs w:val="18"/>
              </w:rPr>
              <w:t>数量</w:t>
            </w:r>
            <w:r>
              <w:rPr>
                <w:rFonts w:hint="eastAsia"/>
                <w:sz w:val="18"/>
                <w:szCs w:val="18"/>
              </w:rPr>
              <w:t>增加1台，不新增产能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12</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spacing w:line="240" w:lineRule="auto"/>
              <w:ind w:firstLine="0" w:firstLineChars="0"/>
              <w:jc w:val="center"/>
              <w:rPr>
                <w:sz w:val="21"/>
                <w:szCs w:val="21"/>
                <w:highlight w:val="red"/>
                <w:lang w:bidi="zh-CN"/>
              </w:rPr>
            </w:pPr>
            <w:r>
              <w:rPr>
                <w:sz w:val="18"/>
                <w:szCs w:val="18"/>
              </w:rPr>
              <w:t>电焊机</w:t>
            </w:r>
          </w:p>
        </w:tc>
        <w:tc>
          <w:tcPr>
            <w:tcW w:w="435" w:type="pct"/>
            <w:vAlign w:val="center"/>
          </w:tcPr>
          <w:p>
            <w:pPr>
              <w:spacing w:line="240" w:lineRule="auto"/>
              <w:ind w:firstLine="0" w:firstLineChars="0"/>
              <w:jc w:val="center"/>
              <w:rPr>
                <w:bCs/>
                <w:sz w:val="21"/>
                <w:szCs w:val="21"/>
                <w:highlight w:val="red"/>
              </w:rPr>
            </w:pPr>
            <w:r>
              <w:rPr>
                <w:sz w:val="18"/>
                <w:szCs w:val="18"/>
              </w:rPr>
              <w:t>20</w:t>
            </w:r>
          </w:p>
        </w:tc>
        <w:tc>
          <w:tcPr>
            <w:tcW w:w="671" w:type="pct"/>
            <w:vAlign w:val="center"/>
          </w:tcPr>
          <w:p>
            <w:pPr>
              <w:spacing w:line="240" w:lineRule="auto"/>
              <w:ind w:firstLine="0" w:firstLineChars="0"/>
              <w:jc w:val="center"/>
              <w:rPr>
                <w:sz w:val="21"/>
                <w:szCs w:val="21"/>
                <w:highlight w:val="red"/>
              </w:rPr>
            </w:pPr>
            <w:r>
              <w:rPr>
                <w:bCs/>
                <w:sz w:val="18"/>
                <w:szCs w:val="18"/>
              </w:rPr>
              <w:t>3kw</w:t>
            </w:r>
          </w:p>
        </w:tc>
        <w:tc>
          <w:tcPr>
            <w:tcW w:w="717" w:type="pct"/>
            <w:vAlign w:val="center"/>
          </w:tcPr>
          <w:p>
            <w:pPr>
              <w:widowControl/>
              <w:spacing w:line="240" w:lineRule="auto"/>
              <w:ind w:firstLine="0" w:firstLineChars="0"/>
              <w:jc w:val="center"/>
              <w:rPr>
                <w:sz w:val="18"/>
                <w:szCs w:val="18"/>
              </w:rPr>
            </w:pPr>
            <w:r>
              <w:rPr>
                <w:sz w:val="18"/>
                <w:szCs w:val="18"/>
              </w:rPr>
              <w:t>电焊机</w:t>
            </w:r>
          </w:p>
        </w:tc>
        <w:tc>
          <w:tcPr>
            <w:tcW w:w="393" w:type="pct"/>
            <w:vAlign w:val="center"/>
          </w:tcPr>
          <w:p>
            <w:pPr>
              <w:widowControl/>
              <w:spacing w:line="240" w:lineRule="auto"/>
              <w:ind w:firstLine="0" w:firstLineChars="0"/>
              <w:jc w:val="center"/>
              <w:rPr>
                <w:sz w:val="18"/>
                <w:szCs w:val="18"/>
              </w:rPr>
            </w:pPr>
            <w:r>
              <w:rPr>
                <w:sz w:val="18"/>
                <w:szCs w:val="18"/>
              </w:rPr>
              <w:t>20</w:t>
            </w:r>
          </w:p>
        </w:tc>
        <w:tc>
          <w:tcPr>
            <w:tcW w:w="677" w:type="pct"/>
            <w:vAlign w:val="center"/>
          </w:tcPr>
          <w:p>
            <w:pPr>
              <w:widowControl/>
              <w:spacing w:line="240" w:lineRule="auto"/>
              <w:ind w:firstLine="0" w:firstLineChars="0"/>
              <w:jc w:val="center"/>
              <w:rPr>
                <w:sz w:val="18"/>
                <w:szCs w:val="18"/>
              </w:rPr>
            </w:pPr>
            <w:r>
              <w:rPr>
                <w:sz w:val="18"/>
                <w:szCs w:val="18"/>
              </w:rPr>
              <w:t>3kw</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13</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spacing w:line="240" w:lineRule="auto"/>
              <w:ind w:firstLine="0" w:firstLineChars="0"/>
              <w:jc w:val="center"/>
              <w:rPr>
                <w:sz w:val="21"/>
                <w:szCs w:val="21"/>
                <w:highlight w:val="red"/>
                <w:lang w:bidi="zh-CN"/>
              </w:rPr>
            </w:pPr>
            <w:r>
              <w:rPr>
                <w:sz w:val="18"/>
                <w:szCs w:val="18"/>
              </w:rPr>
              <w:t>行车</w:t>
            </w:r>
          </w:p>
        </w:tc>
        <w:tc>
          <w:tcPr>
            <w:tcW w:w="435" w:type="pct"/>
            <w:vAlign w:val="center"/>
          </w:tcPr>
          <w:p>
            <w:pPr>
              <w:spacing w:line="240" w:lineRule="auto"/>
              <w:ind w:firstLine="0" w:firstLineChars="0"/>
              <w:jc w:val="center"/>
              <w:rPr>
                <w:bCs/>
                <w:sz w:val="21"/>
                <w:szCs w:val="21"/>
                <w:highlight w:val="red"/>
              </w:rPr>
            </w:pPr>
            <w:r>
              <w:rPr>
                <w:sz w:val="18"/>
                <w:szCs w:val="18"/>
              </w:rPr>
              <w:t>6</w:t>
            </w:r>
          </w:p>
        </w:tc>
        <w:tc>
          <w:tcPr>
            <w:tcW w:w="671" w:type="pct"/>
            <w:vAlign w:val="center"/>
          </w:tcPr>
          <w:p>
            <w:pPr>
              <w:spacing w:line="240" w:lineRule="auto"/>
              <w:ind w:firstLine="0" w:firstLineChars="0"/>
              <w:jc w:val="center"/>
              <w:rPr>
                <w:sz w:val="21"/>
                <w:szCs w:val="21"/>
                <w:highlight w:val="red"/>
              </w:rPr>
            </w:pPr>
            <w:r>
              <w:rPr>
                <w:sz w:val="18"/>
                <w:szCs w:val="18"/>
              </w:rPr>
              <w:t>5T/10T</w:t>
            </w:r>
          </w:p>
        </w:tc>
        <w:tc>
          <w:tcPr>
            <w:tcW w:w="717" w:type="pct"/>
            <w:vAlign w:val="center"/>
          </w:tcPr>
          <w:p>
            <w:pPr>
              <w:widowControl/>
              <w:spacing w:line="240" w:lineRule="auto"/>
              <w:ind w:firstLine="0" w:firstLineChars="0"/>
              <w:jc w:val="center"/>
              <w:rPr>
                <w:sz w:val="18"/>
                <w:szCs w:val="18"/>
              </w:rPr>
            </w:pPr>
            <w:r>
              <w:rPr>
                <w:sz w:val="18"/>
                <w:szCs w:val="18"/>
              </w:rPr>
              <w:t>行车</w:t>
            </w:r>
          </w:p>
        </w:tc>
        <w:tc>
          <w:tcPr>
            <w:tcW w:w="393" w:type="pct"/>
            <w:vAlign w:val="center"/>
          </w:tcPr>
          <w:p>
            <w:pPr>
              <w:widowControl/>
              <w:spacing w:line="240" w:lineRule="auto"/>
              <w:ind w:firstLine="0" w:firstLineChars="0"/>
              <w:jc w:val="center"/>
              <w:rPr>
                <w:sz w:val="18"/>
                <w:szCs w:val="18"/>
              </w:rPr>
            </w:pPr>
            <w:r>
              <w:rPr>
                <w:sz w:val="18"/>
                <w:szCs w:val="18"/>
              </w:rPr>
              <w:t>6</w:t>
            </w:r>
          </w:p>
        </w:tc>
        <w:tc>
          <w:tcPr>
            <w:tcW w:w="677" w:type="pct"/>
            <w:vAlign w:val="center"/>
          </w:tcPr>
          <w:p>
            <w:pPr>
              <w:widowControl/>
              <w:spacing w:line="240" w:lineRule="auto"/>
              <w:ind w:firstLine="0" w:firstLineChars="0"/>
              <w:jc w:val="center"/>
              <w:rPr>
                <w:sz w:val="18"/>
                <w:szCs w:val="18"/>
              </w:rPr>
            </w:pPr>
            <w:r>
              <w:rPr>
                <w:sz w:val="18"/>
                <w:szCs w:val="18"/>
              </w:rPr>
              <w:t>5T/10T</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14</w:t>
            </w:r>
          </w:p>
        </w:tc>
        <w:tc>
          <w:tcPr>
            <w:tcW w:w="329" w:type="pct"/>
            <w:vMerge w:val="continue"/>
            <w:vAlign w:val="center"/>
          </w:tcPr>
          <w:p>
            <w:pPr>
              <w:spacing w:line="240" w:lineRule="auto"/>
              <w:ind w:firstLine="0" w:firstLineChars="0"/>
              <w:jc w:val="center"/>
              <w:rPr>
                <w:sz w:val="21"/>
                <w:szCs w:val="21"/>
                <w:highlight w:val="red"/>
              </w:rPr>
            </w:pPr>
          </w:p>
        </w:tc>
        <w:tc>
          <w:tcPr>
            <w:tcW w:w="378" w:type="pct"/>
            <w:vMerge w:val="continue"/>
            <w:vAlign w:val="center"/>
          </w:tcPr>
          <w:p>
            <w:pPr>
              <w:spacing w:line="240" w:lineRule="auto"/>
              <w:ind w:firstLine="0" w:firstLineChars="0"/>
              <w:jc w:val="center"/>
              <w:rPr>
                <w:sz w:val="21"/>
                <w:szCs w:val="21"/>
                <w:highlight w:val="red"/>
              </w:rPr>
            </w:pPr>
          </w:p>
        </w:tc>
        <w:tc>
          <w:tcPr>
            <w:tcW w:w="604" w:type="pct"/>
            <w:vAlign w:val="center"/>
          </w:tcPr>
          <w:p>
            <w:pPr>
              <w:spacing w:line="240" w:lineRule="auto"/>
              <w:ind w:firstLine="0" w:firstLineChars="0"/>
              <w:jc w:val="center"/>
              <w:rPr>
                <w:sz w:val="21"/>
                <w:szCs w:val="21"/>
                <w:highlight w:val="red"/>
                <w:lang w:bidi="zh-CN"/>
              </w:rPr>
            </w:pPr>
            <w:r>
              <w:rPr>
                <w:sz w:val="18"/>
                <w:szCs w:val="18"/>
              </w:rPr>
              <w:t>叉车</w:t>
            </w:r>
          </w:p>
        </w:tc>
        <w:tc>
          <w:tcPr>
            <w:tcW w:w="435" w:type="pct"/>
            <w:vAlign w:val="center"/>
          </w:tcPr>
          <w:p>
            <w:pPr>
              <w:spacing w:line="240" w:lineRule="auto"/>
              <w:ind w:firstLine="0" w:firstLineChars="0"/>
              <w:jc w:val="center"/>
              <w:rPr>
                <w:bCs/>
                <w:sz w:val="21"/>
                <w:szCs w:val="21"/>
                <w:highlight w:val="red"/>
              </w:rPr>
            </w:pPr>
            <w:r>
              <w:rPr>
                <w:sz w:val="18"/>
                <w:szCs w:val="18"/>
              </w:rPr>
              <w:t>2</w:t>
            </w:r>
          </w:p>
        </w:tc>
        <w:tc>
          <w:tcPr>
            <w:tcW w:w="671" w:type="pct"/>
            <w:vAlign w:val="center"/>
          </w:tcPr>
          <w:p>
            <w:pPr>
              <w:spacing w:line="240" w:lineRule="auto"/>
              <w:ind w:firstLine="0" w:firstLineChars="0"/>
              <w:jc w:val="center"/>
              <w:rPr>
                <w:bCs/>
                <w:sz w:val="21"/>
                <w:szCs w:val="21"/>
                <w:highlight w:val="red"/>
              </w:rPr>
            </w:pPr>
            <w:r>
              <w:rPr>
                <w:sz w:val="18"/>
                <w:szCs w:val="18"/>
              </w:rPr>
              <w:t>3T</w:t>
            </w:r>
          </w:p>
        </w:tc>
        <w:tc>
          <w:tcPr>
            <w:tcW w:w="717" w:type="pct"/>
            <w:vAlign w:val="center"/>
          </w:tcPr>
          <w:p>
            <w:pPr>
              <w:widowControl/>
              <w:spacing w:line="240" w:lineRule="auto"/>
              <w:ind w:firstLine="0" w:firstLineChars="0"/>
              <w:jc w:val="center"/>
              <w:rPr>
                <w:sz w:val="18"/>
                <w:szCs w:val="18"/>
              </w:rPr>
            </w:pPr>
            <w:r>
              <w:rPr>
                <w:sz w:val="18"/>
                <w:szCs w:val="18"/>
              </w:rPr>
              <w:t>叉车</w:t>
            </w:r>
          </w:p>
        </w:tc>
        <w:tc>
          <w:tcPr>
            <w:tcW w:w="393" w:type="pct"/>
            <w:vAlign w:val="center"/>
          </w:tcPr>
          <w:p>
            <w:pPr>
              <w:widowControl/>
              <w:spacing w:line="240" w:lineRule="auto"/>
              <w:ind w:firstLine="0" w:firstLineChars="0"/>
              <w:jc w:val="center"/>
              <w:rPr>
                <w:sz w:val="18"/>
                <w:szCs w:val="18"/>
              </w:rPr>
            </w:pPr>
            <w:r>
              <w:rPr>
                <w:sz w:val="18"/>
                <w:szCs w:val="18"/>
              </w:rPr>
              <w:t>2</w:t>
            </w:r>
          </w:p>
        </w:tc>
        <w:tc>
          <w:tcPr>
            <w:tcW w:w="677" w:type="pct"/>
            <w:vAlign w:val="center"/>
          </w:tcPr>
          <w:p>
            <w:pPr>
              <w:widowControl/>
              <w:spacing w:line="240" w:lineRule="auto"/>
              <w:ind w:firstLine="0" w:firstLineChars="0"/>
              <w:jc w:val="center"/>
              <w:rPr>
                <w:sz w:val="18"/>
                <w:szCs w:val="18"/>
              </w:rPr>
            </w:pPr>
            <w:r>
              <w:rPr>
                <w:sz w:val="18"/>
                <w:szCs w:val="18"/>
              </w:rPr>
              <w:t>3T</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sz w:val="21"/>
                <w:szCs w:val="21"/>
                <w:highlight w:val="red"/>
              </w:rPr>
            </w:pPr>
            <w:r>
              <w:rPr>
                <w:bCs/>
                <w:sz w:val="18"/>
                <w:szCs w:val="18"/>
              </w:rPr>
              <w:t>15</w:t>
            </w:r>
          </w:p>
        </w:tc>
        <w:tc>
          <w:tcPr>
            <w:tcW w:w="329" w:type="pct"/>
            <w:vMerge w:val="restart"/>
            <w:vAlign w:val="center"/>
          </w:tcPr>
          <w:p>
            <w:pPr>
              <w:spacing w:line="240" w:lineRule="auto"/>
              <w:ind w:firstLine="0" w:firstLineChars="0"/>
              <w:jc w:val="center"/>
              <w:rPr>
                <w:sz w:val="21"/>
                <w:szCs w:val="21"/>
                <w:highlight w:val="red"/>
              </w:rPr>
            </w:pPr>
            <w:r>
              <w:rPr>
                <w:bCs/>
                <w:sz w:val="18"/>
                <w:szCs w:val="18"/>
              </w:rPr>
              <w:t>喷涂区</w:t>
            </w:r>
          </w:p>
        </w:tc>
        <w:tc>
          <w:tcPr>
            <w:tcW w:w="378" w:type="pct"/>
            <w:vAlign w:val="center"/>
          </w:tcPr>
          <w:p>
            <w:pPr>
              <w:spacing w:line="240" w:lineRule="auto"/>
              <w:ind w:firstLine="0" w:firstLineChars="0"/>
              <w:jc w:val="center"/>
              <w:rPr>
                <w:sz w:val="21"/>
                <w:szCs w:val="21"/>
                <w:highlight w:val="red"/>
              </w:rPr>
            </w:pPr>
            <w:r>
              <w:rPr>
                <w:bCs/>
                <w:sz w:val="18"/>
                <w:szCs w:val="18"/>
              </w:rPr>
              <w:t>喷漆</w:t>
            </w:r>
          </w:p>
        </w:tc>
        <w:tc>
          <w:tcPr>
            <w:tcW w:w="604" w:type="pct"/>
            <w:vAlign w:val="center"/>
          </w:tcPr>
          <w:p>
            <w:pPr>
              <w:spacing w:line="240" w:lineRule="auto"/>
              <w:ind w:firstLine="0" w:firstLineChars="0"/>
              <w:jc w:val="center"/>
              <w:rPr>
                <w:sz w:val="21"/>
                <w:szCs w:val="21"/>
                <w:highlight w:val="red"/>
                <w:lang w:bidi="zh-CN"/>
              </w:rPr>
            </w:pPr>
            <w:r>
              <w:rPr>
                <w:bCs/>
                <w:sz w:val="18"/>
                <w:szCs w:val="18"/>
              </w:rPr>
              <w:t>喷漆室</w:t>
            </w:r>
          </w:p>
        </w:tc>
        <w:tc>
          <w:tcPr>
            <w:tcW w:w="435" w:type="pct"/>
            <w:vAlign w:val="center"/>
          </w:tcPr>
          <w:p>
            <w:pPr>
              <w:spacing w:line="240" w:lineRule="auto"/>
              <w:ind w:firstLine="0" w:firstLineChars="0"/>
              <w:jc w:val="center"/>
              <w:rPr>
                <w:bCs/>
                <w:sz w:val="21"/>
                <w:szCs w:val="21"/>
                <w:highlight w:val="red"/>
              </w:rPr>
            </w:pPr>
            <w:r>
              <w:rPr>
                <w:bCs/>
                <w:sz w:val="18"/>
                <w:szCs w:val="18"/>
              </w:rPr>
              <w:t>1</w:t>
            </w:r>
          </w:p>
        </w:tc>
        <w:tc>
          <w:tcPr>
            <w:tcW w:w="671" w:type="pct"/>
            <w:vAlign w:val="center"/>
          </w:tcPr>
          <w:p>
            <w:pPr>
              <w:spacing w:line="240" w:lineRule="auto"/>
              <w:ind w:firstLine="0" w:firstLineChars="0"/>
              <w:jc w:val="center"/>
              <w:rPr>
                <w:bCs/>
                <w:sz w:val="21"/>
                <w:szCs w:val="21"/>
                <w:highlight w:val="red"/>
              </w:rPr>
            </w:pPr>
            <w:r>
              <w:rPr>
                <w:kern w:val="0"/>
                <w:sz w:val="18"/>
                <w:szCs w:val="18"/>
              </w:rPr>
              <w:t>16*7*3m</w:t>
            </w:r>
          </w:p>
        </w:tc>
        <w:tc>
          <w:tcPr>
            <w:tcW w:w="717" w:type="pct"/>
            <w:vAlign w:val="center"/>
          </w:tcPr>
          <w:p>
            <w:pPr>
              <w:widowControl/>
              <w:spacing w:line="240" w:lineRule="auto"/>
              <w:ind w:firstLine="0" w:firstLineChars="0"/>
              <w:jc w:val="center"/>
              <w:rPr>
                <w:sz w:val="18"/>
                <w:szCs w:val="18"/>
              </w:rPr>
            </w:pPr>
            <w:r>
              <w:rPr>
                <w:sz w:val="18"/>
                <w:szCs w:val="18"/>
              </w:rPr>
              <w:t>喷漆室</w:t>
            </w:r>
          </w:p>
        </w:tc>
        <w:tc>
          <w:tcPr>
            <w:tcW w:w="393" w:type="pct"/>
            <w:vAlign w:val="center"/>
          </w:tcPr>
          <w:p>
            <w:pPr>
              <w:widowControl/>
              <w:spacing w:line="240" w:lineRule="auto"/>
              <w:ind w:firstLine="0" w:firstLineChars="0"/>
              <w:jc w:val="center"/>
              <w:rPr>
                <w:sz w:val="18"/>
                <w:szCs w:val="18"/>
              </w:rPr>
            </w:pPr>
            <w:r>
              <w:rPr>
                <w:sz w:val="18"/>
                <w:szCs w:val="18"/>
              </w:rPr>
              <w:t>1</w:t>
            </w:r>
          </w:p>
        </w:tc>
        <w:tc>
          <w:tcPr>
            <w:tcW w:w="677" w:type="pct"/>
            <w:vAlign w:val="center"/>
          </w:tcPr>
          <w:p>
            <w:pPr>
              <w:widowControl/>
              <w:spacing w:line="240" w:lineRule="auto"/>
              <w:ind w:firstLine="0" w:firstLineChars="0"/>
              <w:jc w:val="center"/>
              <w:rPr>
                <w:sz w:val="18"/>
                <w:szCs w:val="18"/>
              </w:rPr>
            </w:pPr>
            <w:r>
              <w:rPr>
                <w:sz w:val="18"/>
                <w:szCs w:val="18"/>
              </w:rPr>
              <w:t>16*7*3m</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bCs/>
                <w:sz w:val="18"/>
                <w:szCs w:val="18"/>
              </w:rPr>
            </w:pPr>
            <w:r>
              <w:rPr>
                <w:bCs/>
                <w:sz w:val="18"/>
                <w:szCs w:val="18"/>
              </w:rPr>
              <w:t>16</w:t>
            </w:r>
          </w:p>
        </w:tc>
        <w:tc>
          <w:tcPr>
            <w:tcW w:w="329" w:type="pct"/>
            <w:vMerge w:val="continue"/>
            <w:vAlign w:val="center"/>
          </w:tcPr>
          <w:p>
            <w:pPr>
              <w:spacing w:line="240" w:lineRule="auto"/>
              <w:ind w:firstLine="0" w:firstLineChars="0"/>
              <w:jc w:val="center"/>
              <w:rPr>
                <w:sz w:val="21"/>
                <w:szCs w:val="21"/>
                <w:highlight w:val="red"/>
              </w:rPr>
            </w:pPr>
          </w:p>
        </w:tc>
        <w:tc>
          <w:tcPr>
            <w:tcW w:w="378" w:type="pct"/>
            <w:vAlign w:val="center"/>
          </w:tcPr>
          <w:p>
            <w:pPr>
              <w:spacing w:line="240" w:lineRule="auto"/>
              <w:ind w:firstLine="0" w:firstLineChars="0"/>
              <w:jc w:val="center"/>
              <w:rPr>
                <w:kern w:val="0"/>
                <w:sz w:val="18"/>
                <w:szCs w:val="18"/>
              </w:rPr>
            </w:pPr>
            <w:r>
              <w:rPr>
                <w:kern w:val="0"/>
                <w:sz w:val="18"/>
                <w:szCs w:val="18"/>
              </w:rPr>
              <w:t>喷粉</w:t>
            </w:r>
          </w:p>
        </w:tc>
        <w:tc>
          <w:tcPr>
            <w:tcW w:w="604" w:type="pct"/>
            <w:vAlign w:val="center"/>
          </w:tcPr>
          <w:p>
            <w:pPr>
              <w:spacing w:line="240" w:lineRule="auto"/>
              <w:ind w:firstLine="0" w:firstLineChars="0"/>
              <w:jc w:val="center"/>
              <w:rPr>
                <w:kern w:val="0"/>
                <w:sz w:val="18"/>
                <w:szCs w:val="18"/>
              </w:rPr>
            </w:pPr>
            <w:r>
              <w:rPr>
                <w:kern w:val="0"/>
                <w:sz w:val="18"/>
                <w:szCs w:val="18"/>
              </w:rPr>
              <w:t>喷粉室</w:t>
            </w:r>
          </w:p>
        </w:tc>
        <w:tc>
          <w:tcPr>
            <w:tcW w:w="435" w:type="pct"/>
            <w:vAlign w:val="center"/>
          </w:tcPr>
          <w:p>
            <w:pPr>
              <w:spacing w:line="240" w:lineRule="auto"/>
              <w:ind w:firstLine="0" w:firstLineChars="0"/>
              <w:jc w:val="center"/>
              <w:rPr>
                <w:kern w:val="0"/>
                <w:sz w:val="18"/>
                <w:szCs w:val="18"/>
              </w:rPr>
            </w:pPr>
            <w:r>
              <w:rPr>
                <w:kern w:val="0"/>
                <w:sz w:val="18"/>
                <w:szCs w:val="18"/>
              </w:rPr>
              <w:t>1</w:t>
            </w:r>
          </w:p>
        </w:tc>
        <w:tc>
          <w:tcPr>
            <w:tcW w:w="671" w:type="pct"/>
            <w:vAlign w:val="center"/>
          </w:tcPr>
          <w:p>
            <w:pPr>
              <w:spacing w:line="240" w:lineRule="auto"/>
              <w:ind w:firstLine="0" w:firstLineChars="0"/>
              <w:jc w:val="center"/>
              <w:rPr>
                <w:kern w:val="0"/>
                <w:sz w:val="18"/>
                <w:szCs w:val="18"/>
              </w:rPr>
            </w:pPr>
            <w:r>
              <w:rPr>
                <w:kern w:val="0"/>
                <w:sz w:val="18"/>
                <w:szCs w:val="18"/>
              </w:rPr>
              <w:t>16*7*3m</w:t>
            </w:r>
          </w:p>
        </w:tc>
        <w:tc>
          <w:tcPr>
            <w:tcW w:w="717" w:type="pct"/>
            <w:vAlign w:val="center"/>
          </w:tcPr>
          <w:p>
            <w:pPr>
              <w:spacing w:line="240" w:lineRule="auto"/>
              <w:ind w:firstLine="0" w:firstLineChars="0"/>
              <w:jc w:val="center"/>
              <w:rPr>
                <w:kern w:val="0"/>
                <w:sz w:val="18"/>
                <w:szCs w:val="18"/>
              </w:rPr>
            </w:pPr>
            <w:r>
              <w:rPr>
                <w:kern w:val="0"/>
                <w:sz w:val="18"/>
                <w:szCs w:val="18"/>
              </w:rPr>
              <w:t>喷粉室</w:t>
            </w:r>
          </w:p>
        </w:tc>
        <w:tc>
          <w:tcPr>
            <w:tcW w:w="393" w:type="pct"/>
            <w:vAlign w:val="center"/>
          </w:tcPr>
          <w:p>
            <w:pPr>
              <w:spacing w:line="240" w:lineRule="auto"/>
              <w:ind w:firstLine="0" w:firstLineChars="0"/>
              <w:jc w:val="center"/>
              <w:rPr>
                <w:kern w:val="0"/>
                <w:sz w:val="18"/>
                <w:szCs w:val="18"/>
              </w:rPr>
            </w:pPr>
            <w:r>
              <w:rPr>
                <w:kern w:val="0"/>
                <w:sz w:val="18"/>
                <w:szCs w:val="18"/>
              </w:rPr>
              <w:t>1</w:t>
            </w:r>
          </w:p>
        </w:tc>
        <w:tc>
          <w:tcPr>
            <w:tcW w:w="677" w:type="pct"/>
            <w:vAlign w:val="center"/>
          </w:tcPr>
          <w:p>
            <w:pPr>
              <w:spacing w:line="240" w:lineRule="auto"/>
              <w:ind w:firstLine="0" w:firstLineChars="0"/>
              <w:jc w:val="center"/>
              <w:rPr>
                <w:kern w:val="0"/>
                <w:sz w:val="18"/>
                <w:szCs w:val="18"/>
              </w:rPr>
            </w:pPr>
            <w:r>
              <w:rPr>
                <w:kern w:val="0"/>
                <w:sz w:val="18"/>
                <w:szCs w:val="18"/>
              </w:rPr>
              <w:t>16*7*3m</w:t>
            </w:r>
          </w:p>
        </w:tc>
        <w:tc>
          <w:tcPr>
            <w:tcW w:w="572" w:type="pct"/>
            <w:vAlign w:val="center"/>
          </w:tcPr>
          <w:p>
            <w:pPr>
              <w:widowControl/>
              <w:spacing w:line="240" w:lineRule="auto"/>
              <w:ind w:firstLine="0" w:firstLineChars="0"/>
              <w:jc w:val="center"/>
              <w:rPr>
                <w:sz w:val="18"/>
                <w:szCs w:val="18"/>
              </w:rPr>
            </w:pPr>
            <w:r>
              <w:rPr>
                <w:rFonts w:hint="eastAsia"/>
                <w:sz w:val="18"/>
                <w:szCs w:val="18"/>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Align w:val="center"/>
          </w:tcPr>
          <w:p>
            <w:pPr>
              <w:spacing w:line="240" w:lineRule="auto"/>
              <w:ind w:firstLine="0" w:firstLineChars="0"/>
              <w:jc w:val="center"/>
              <w:rPr>
                <w:bCs/>
                <w:sz w:val="18"/>
                <w:szCs w:val="18"/>
              </w:rPr>
            </w:pPr>
            <w:r>
              <w:rPr>
                <w:rFonts w:hint="eastAsia"/>
                <w:bCs/>
                <w:sz w:val="18"/>
                <w:szCs w:val="18"/>
              </w:rPr>
              <w:t>17</w:t>
            </w:r>
          </w:p>
        </w:tc>
        <w:tc>
          <w:tcPr>
            <w:tcW w:w="329" w:type="pct"/>
            <w:vMerge w:val="continue"/>
            <w:vAlign w:val="center"/>
          </w:tcPr>
          <w:p>
            <w:pPr>
              <w:spacing w:line="240" w:lineRule="auto"/>
              <w:ind w:firstLine="0" w:firstLineChars="0"/>
              <w:jc w:val="center"/>
              <w:rPr>
                <w:sz w:val="21"/>
                <w:szCs w:val="21"/>
                <w:highlight w:val="red"/>
              </w:rPr>
            </w:pPr>
          </w:p>
        </w:tc>
        <w:tc>
          <w:tcPr>
            <w:tcW w:w="378" w:type="pct"/>
            <w:vAlign w:val="center"/>
          </w:tcPr>
          <w:p>
            <w:pPr>
              <w:spacing w:line="240" w:lineRule="auto"/>
              <w:ind w:firstLine="0" w:firstLineChars="0"/>
              <w:jc w:val="center"/>
              <w:rPr>
                <w:kern w:val="0"/>
                <w:sz w:val="18"/>
                <w:szCs w:val="18"/>
              </w:rPr>
            </w:pPr>
            <w:r>
              <w:rPr>
                <w:kern w:val="0"/>
                <w:sz w:val="18"/>
                <w:szCs w:val="18"/>
              </w:rPr>
              <w:t>烘干</w:t>
            </w:r>
          </w:p>
        </w:tc>
        <w:tc>
          <w:tcPr>
            <w:tcW w:w="604" w:type="pct"/>
            <w:vAlign w:val="center"/>
          </w:tcPr>
          <w:p>
            <w:pPr>
              <w:spacing w:line="240" w:lineRule="auto"/>
              <w:ind w:firstLine="0" w:firstLineChars="0"/>
              <w:jc w:val="center"/>
              <w:rPr>
                <w:kern w:val="0"/>
                <w:sz w:val="18"/>
                <w:szCs w:val="18"/>
              </w:rPr>
            </w:pPr>
            <w:r>
              <w:rPr>
                <w:kern w:val="0"/>
                <w:sz w:val="18"/>
                <w:szCs w:val="18"/>
              </w:rPr>
              <w:t>固化烘干房</w:t>
            </w:r>
          </w:p>
        </w:tc>
        <w:tc>
          <w:tcPr>
            <w:tcW w:w="435" w:type="pct"/>
            <w:vAlign w:val="center"/>
          </w:tcPr>
          <w:p>
            <w:pPr>
              <w:spacing w:line="240" w:lineRule="auto"/>
              <w:ind w:firstLine="0" w:firstLineChars="0"/>
              <w:jc w:val="center"/>
              <w:rPr>
                <w:kern w:val="0"/>
                <w:sz w:val="18"/>
                <w:szCs w:val="18"/>
              </w:rPr>
            </w:pPr>
            <w:r>
              <w:rPr>
                <w:kern w:val="0"/>
                <w:sz w:val="18"/>
                <w:szCs w:val="18"/>
              </w:rPr>
              <w:t>1</w:t>
            </w:r>
          </w:p>
        </w:tc>
        <w:tc>
          <w:tcPr>
            <w:tcW w:w="671" w:type="pct"/>
            <w:vAlign w:val="center"/>
          </w:tcPr>
          <w:p>
            <w:pPr>
              <w:spacing w:line="240" w:lineRule="auto"/>
              <w:ind w:firstLine="0" w:firstLineChars="0"/>
              <w:jc w:val="center"/>
              <w:rPr>
                <w:kern w:val="0"/>
                <w:sz w:val="18"/>
                <w:szCs w:val="18"/>
              </w:rPr>
            </w:pPr>
            <w:r>
              <w:rPr>
                <w:kern w:val="0"/>
                <w:sz w:val="18"/>
                <w:szCs w:val="18"/>
              </w:rPr>
              <w:t>16*6*3m，120-220℃，</w:t>
            </w:r>
          </w:p>
        </w:tc>
        <w:tc>
          <w:tcPr>
            <w:tcW w:w="717" w:type="pct"/>
            <w:vAlign w:val="center"/>
          </w:tcPr>
          <w:p>
            <w:pPr>
              <w:spacing w:line="240" w:lineRule="auto"/>
              <w:ind w:firstLine="0" w:firstLineChars="0"/>
              <w:jc w:val="center"/>
              <w:rPr>
                <w:kern w:val="0"/>
                <w:sz w:val="18"/>
                <w:szCs w:val="18"/>
              </w:rPr>
            </w:pPr>
            <w:r>
              <w:rPr>
                <w:kern w:val="0"/>
                <w:sz w:val="18"/>
                <w:szCs w:val="18"/>
              </w:rPr>
              <w:t>固化烘干房</w:t>
            </w:r>
          </w:p>
        </w:tc>
        <w:tc>
          <w:tcPr>
            <w:tcW w:w="393" w:type="pct"/>
            <w:vAlign w:val="center"/>
          </w:tcPr>
          <w:p>
            <w:pPr>
              <w:spacing w:line="240" w:lineRule="auto"/>
              <w:ind w:firstLine="0" w:firstLineChars="0"/>
              <w:jc w:val="center"/>
              <w:rPr>
                <w:kern w:val="0"/>
                <w:sz w:val="18"/>
                <w:szCs w:val="18"/>
              </w:rPr>
            </w:pPr>
            <w:r>
              <w:rPr>
                <w:kern w:val="0"/>
                <w:sz w:val="18"/>
                <w:szCs w:val="18"/>
              </w:rPr>
              <w:t>1</w:t>
            </w:r>
          </w:p>
        </w:tc>
        <w:tc>
          <w:tcPr>
            <w:tcW w:w="677" w:type="pct"/>
            <w:vAlign w:val="center"/>
          </w:tcPr>
          <w:p>
            <w:pPr>
              <w:spacing w:line="240" w:lineRule="auto"/>
              <w:ind w:firstLine="0" w:firstLineChars="0"/>
              <w:jc w:val="center"/>
              <w:rPr>
                <w:kern w:val="0"/>
                <w:sz w:val="18"/>
                <w:szCs w:val="18"/>
              </w:rPr>
            </w:pPr>
            <w:r>
              <w:rPr>
                <w:kern w:val="0"/>
                <w:sz w:val="18"/>
                <w:szCs w:val="18"/>
              </w:rPr>
              <w:t>16*6*3m，120-220℃，</w:t>
            </w:r>
          </w:p>
        </w:tc>
        <w:tc>
          <w:tcPr>
            <w:tcW w:w="572" w:type="pct"/>
            <w:vAlign w:val="center"/>
          </w:tcPr>
          <w:p>
            <w:pPr>
              <w:spacing w:line="240" w:lineRule="auto"/>
              <w:ind w:firstLine="0" w:firstLineChars="0"/>
              <w:jc w:val="center"/>
              <w:rPr>
                <w:kern w:val="0"/>
                <w:sz w:val="18"/>
                <w:szCs w:val="18"/>
              </w:rPr>
            </w:pPr>
            <w:r>
              <w:rPr>
                <w:rFonts w:hint="eastAsia"/>
                <w:kern w:val="0"/>
                <w:sz w:val="18"/>
                <w:szCs w:val="18"/>
              </w:rPr>
              <w:t>与环评一致</w:t>
            </w:r>
          </w:p>
        </w:tc>
      </w:tr>
    </w:tbl>
    <w:p>
      <w:pPr>
        <w:pStyle w:val="4"/>
      </w:pPr>
      <w:bookmarkStart w:id="324" w:name="_Toc27838_WPSOffice_Level2"/>
      <w:bookmarkStart w:id="325" w:name="_Toc2121"/>
      <w:bookmarkStart w:id="326" w:name="_Toc32656"/>
      <w:bookmarkStart w:id="327" w:name="_Toc28980"/>
      <w:bookmarkStart w:id="328" w:name="_Toc8410_WPSOffice_Level2"/>
      <w:bookmarkStart w:id="329" w:name="_Toc8914_WPSOffice_Level2"/>
      <w:bookmarkStart w:id="330" w:name="_Toc11439"/>
      <w:bookmarkStart w:id="331" w:name="_Toc13713"/>
      <w:bookmarkStart w:id="332" w:name="_Toc10847_WPSOffice_Level2"/>
      <w:bookmarkStart w:id="333" w:name="_Toc11241"/>
      <w:r>
        <w:t>3.3主要原辅材料</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t>及燃料</w:t>
      </w:r>
      <w:bookmarkEnd w:id="323"/>
      <w:bookmarkEnd w:id="324"/>
      <w:bookmarkEnd w:id="325"/>
      <w:bookmarkEnd w:id="326"/>
      <w:bookmarkEnd w:id="327"/>
      <w:bookmarkEnd w:id="328"/>
      <w:bookmarkEnd w:id="329"/>
      <w:bookmarkEnd w:id="330"/>
      <w:bookmarkEnd w:id="331"/>
      <w:bookmarkEnd w:id="332"/>
      <w:bookmarkEnd w:id="333"/>
    </w:p>
    <w:p>
      <w:pPr>
        <w:ind w:firstLine="480"/>
      </w:pPr>
      <w:r>
        <w:t>主要原辅材料使用情况见表3.3-1，产品方案见表3.3-2。</w:t>
      </w:r>
    </w:p>
    <w:p>
      <w:pPr>
        <w:pStyle w:val="48"/>
      </w:pPr>
      <w:r>
        <w:t>表3.3-1 主要原辅材料消耗情况一览表</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424"/>
        <w:gridCol w:w="872"/>
        <w:gridCol w:w="2952"/>
        <w:gridCol w:w="1765"/>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序号</w:t>
            </w:r>
          </w:p>
        </w:tc>
        <w:tc>
          <w:tcPr>
            <w:tcW w:w="740" w:type="pct"/>
            <w:vAlign w:val="center"/>
          </w:tcPr>
          <w:p>
            <w:pPr>
              <w:widowControl/>
              <w:spacing w:line="240" w:lineRule="auto"/>
              <w:ind w:firstLine="0" w:firstLineChars="0"/>
              <w:jc w:val="center"/>
              <w:rPr>
                <w:sz w:val="18"/>
                <w:szCs w:val="18"/>
              </w:rPr>
            </w:pPr>
            <w:r>
              <w:rPr>
                <w:sz w:val="18"/>
                <w:szCs w:val="18"/>
              </w:rPr>
              <w:t>名称</w:t>
            </w:r>
          </w:p>
        </w:tc>
        <w:tc>
          <w:tcPr>
            <w:tcW w:w="453" w:type="pct"/>
            <w:vAlign w:val="center"/>
          </w:tcPr>
          <w:p>
            <w:pPr>
              <w:widowControl/>
              <w:spacing w:line="240" w:lineRule="auto"/>
              <w:ind w:firstLine="0" w:firstLineChars="0"/>
              <w:jc w:val="center"/>
              <w:rPr>
                <w:sz w:val="18"/>
                <w:szCs w:val="18"/>
              </w:rPr>
            </w:pPr>
            <w:r>
              <w:rPr>
                <w:sz w:val="18"/>
                <w:szCs w:val="18"/>
              </w:rPr>
              <w:t>单位</w:t>
            </w:r>
          </w:p>
        </w:tc>
        <w:tc>
          <w:tcPr>
            <w:tcW w:w="1534" w:type="pct"/>
            <w:vAlign w:val="center"/>
          </w:tcPr>
          <w:p>
            <w:pPr>
              <w:widowControl/>
              <w:spacing w:line="240" w:lineRule="auto"/>
              <w:ind w:firstLine="0" w:firstLineChars="0"/>
              <w:jc w:val="center"/>
              <w:rPr>
                <w:sz w:val="18"/>
                <w:szCs w:val="18"/>
              </w:rPr>
            </w:pPr>
            <w:r>
              <w:rPr>
                <w:sz w:val="18"/>
                <w:szCs w:val="18"/>
              </w:rPr>
              <w:t>环评设计年消耗量</w:t>
            </w:r>
          </w:p>
        </w:tc>
        <w:tc>
          <w:tcPr>
            <w:tcW w:w="917" w:type="pct"/>
            <w:vAlign w:val="center"/>
          </w:tcPr>
          <w:p>
            <w:pPr>
              <w:widowControl/>
              <w:spacing w:line="240" w:lineRule="auto"/>
              <w:ind w:firstLine="0" w:firstLineChars="0"/>
              <w:jc w:val="center"/>
              <w:rPr>
                <w:sz w:val="18"/>
                <w:szCs w:val="18"/>
              </w:rPr>
            </w:pPr>
            <w:r>
              <w:rPr>
                <w:sz w:val="18"/>
                <w:szCs w:val="18"/>
              </w:rPr>
              <w:t>实际年消耗量</w:t>
            </w:r>
          </w:p>
        </w:tc>
        <w:tc>
          <w:tcPr>
            <w:tcW w:w="1035" w:type="pct"/>
            <w:vAlign w:val="center"/>
          </w:tcPr>
          <w:p>
            <w:pPr>
              <w:widowControl/>
              <w:spacing w:line="240" w:lineRule="auto"/>
              <w:ind w:firstLine="0" w:firstLineChars="0"/>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1</w:t>
            </w:r>
          </w:p>
        </w:tc>
        <w:tc>
          <w:tcPr>
            <w:tcW w:w="740" w:type="pct"/>
            <w:vAlign w:val="center"/>
          </w:tcPr>
          <w:p>
            <w:pPr>
              <w:widowControl/>
              <w:spacing w:line="240" w:lineRule="auto"/>
              <w:ind w:firstLine="0" w:firstLineChars="0"/>
              <w:jc w:val="center"/>
              <w:rPr>
                <w:sz w:val="18"/>
                <w:szCs w:val="18"/>
              </w:rPr>
            </w:pPr>
            <w:r>
              <w:rPr>
                <w:sz w:val="18"/>
                <w:szCs w:val="18"/>
              </w:rPr>
              <w:t>钢板</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sz w:val="18"/>
                <w:szCs w:val="18"/>
              </w:rPr>
              <w:t>1000</w:t>
            </w:r>
          </w:p>
        </w:tc>
        <w:tc>
          <w:tcPr>
            <w:tcW w:w="917" w:type="pct"/>
            <w:vAlign w:val="center"/>
          </w:tcPr>
          <w:p>
            <w:pPr>
              <w:widowControl/>
              <w:spacing w:line="240" w:lineRule="auto"/>
              <w:ind w:firstLine="0" w:firstLineChars="0"/>
              <w:jc w:val="center"/>
              <w:rPr>
                <w:sz w:val="18"/>
                <w:szCs w:val="18"/>
              </w:rPr>
            </w:pPr>
            <w:r>
              <w:rPr>
                <w:sz w:val="18"/>
                <w:szCs w:val="18"/>
              </w:rPr>
              <w:t>1000</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2</w:t>
            </w:r>
          </w:p>
        </w:tc>
        <w:tc>
          <w:tcPr>
            <w:tcW w:w="740" w:type="pct"/>
            <w:vAlign w:val="center"/>
          </w:tcPr>
          <w:p>
            <w:pPr>
              <w:widowControl/>
              <w:spacing w:line="240" w:lineRule="auto"/>
              <w:ind w:firstLine="0" w:firstLineChars="0"/>
              <w:jc w:val="center"/>
              <w:rPr>
                <w:sz w:val="18"/>
                <w:szCs w:val="18"/>
              </w:rPr>
            </w:pPr>
            <w:r>
              <w:rPr>
                <w:sz w:val="18"/>
                <w:szCs w:val="18"/>
              </w:rPr>
              <w:t>钢管</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sz w:val="18"/>
                <w:szCs w:val="18"/>
              </w:rPr>
              <w:t>600</w:t>
            </w:r>
          </w:p>
        </w:tc>
        <w:tc>
          <w:tcPr>
            <w:tcW w:w="917" w:type="pct"/>
            <w:vAlign w:val="center"/>
          </w:tcPr>
          <w:p>
            <w:pPr>
              <w:widowControl/>
              <w:spacing w:line="240" w:lineRule="auto"/>
              <w:ind w:firstLine="0" w:firstLineChars="0"/>
              <w:jc w:val="center"/>
              <w:rPr>
                <w:sz w:val="18"/>
                <w:szCs w:val="18"/>
              </w:rPr>
            </w:pPr>
            <w:r>
              <w:rPr>
                <w:sz w:val="18"/>
                <w:szCs w:val="18"/>
              </w:rPr>
              <w:t>600</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3</w:t>
            </w:r>
          </w:p>
        </w:tc>
        <w:tc>
          <w:tcPr>
            <w:tcW w:w="740" w:type="pct"/>
            <w:vAlign w:val="center"/>
          </w:tcPr>
          <w:p>
            <w:pPr>
              <w:widowControl/>
              <w:spacing w:line="240" w:lineRule="auto"/>
              <w:ind w:firstLine="0" w:firstLineChars="0"/>
              <w:jc w:val="center"/>
              <w:rPr>
                <w:sz w:val="18"/>
                <w:szCs w:val="18"/>
              </w:rPr>
            </w:pPr>
            <w:r>
              <w:rPr>
                <w:sz w:val="18"/>
                <w:szCs w:val="18"/>
              </w:rPr>
              <w:t>H槽钢</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sz w:val="18"/>
                <w:szCs w:val="18"/>
              </w:rPr>
              <w:t>200</w:t>
            </w:r>
          </w:p>
        </w:tc>
        <w:tc>
          <w:tcPr>
            <w:tcW w:w="917" w:type="pct"/>
            <w:vAlign w:val="center"/>
          </w:tcPr>
          <w:p>
            <w:pPr>
              <w:widowControl/>
              <w:spacing w:line="240" w:lineRule="auto"/>
              <w:ind w:firstLine="0" w:firstLineChars="0"/>
              <w:jc w:val="center"/>
              <w:rPr>
                <w:sz w:val="18"/>
                <w:szCs w:val="18"/>
              </w:rPr>
            </w:pPr>
            <w:r>
              <w:rPr>
                <w:sz w:val="18"/>
                <w:szCs w:val="18"/>
              </w:rPr>
              <w:t>200</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4</w:t>
            </w:r>
          </w:p>
        </w:tc>
        <w:tc>
          <w:tcPr>
            <w:tcW w:w="740" w:type="pct"/>
            <w:vAlign w:val="center"/>
          </w:tcPr>
          <w:p>
            <w:pPr>
              <w:widowControl/>
              <w:spacing w:line="240" w:lineRule="auto"/>
              <w:ind w:firstLine="0" w:firstLineChars="0"/>
              <w:jc w:val="center"/>
              <w:rPr>
                <w:sz w:val="18"/>
                <w:szCs w:val="18"/>
              </w:rPr>
            </w:pPr>
            <w:r>
              <w:rPr>
                <w:sz w:val="18"/>
                <w:szCs w:val="18"/>
              </w:rPr>
              <w:t>角铁</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sz w:val="18"/>
                <w:szCs w:val="18"/>
              </w:rPr>
              <w:t>200</w:t>
            </w:r>
          </w:p>
        </w:tc>
        <w:tc>
          <w:tcPr>
            <w:tcW w:w="917" w:type="pct"/>
            <w:vAlign w:val="center"/>
          </w:tcPr>
          <w:p>
            <w:pPr>
              <w:widowControl/>
              <w:spacing w:line="240" w:lineRule="auto"/>
              <w:ind w:firstLine="0" w:firstLineChars="0"/>
              <w:jc w:val="center"/>
              <w:rPr>
                <w:sz w:val="18"/>
                <w:szCs w:val="18"/>
              </w:rPr>
            </w:pPr>
            <w:r>
              <w:rPr>
                <w:sz w:val="18"/>
                <w:szCs w:val="18"/>
              </w:rPr>
              <w:t>200</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5</w:t>
            </w:r>
          </w:p>
        </w:tc>
        <w:tc>
          <w:tcPr>
            <w:tcW w:w="740" w:type="pct"/>
            <w:vAlign w:val="center"/>
          </w:tcPr>
          <w:p>
            <w:pPr>
              <w:widowControl/>
              <w:spacing w:line="240" w:lineRule="auto"/>
              <w:ind w:firstLine="0" w:firstLineChars="0"/>
              <w:jc w:val="center"/>
              <w:rPr>
                <w:sz w:val="18"/>
                <w:szCs w:val="18"/>
              </w:rPr>
            </w:pPr>
            <w:r>
              <w:rPr>
                <w:sz w:val="18"/>
                <w:szCs w:val="18"/>
              </w:rPr>
              <w:t>机械零部件</w:t>
            </w:r>
          </w:p>
        </w:tc>
        <w:tc>
          <w:tcPr>
            <w:tcW w:w="453" w:type="pct"/>
            <w:vAlign w:val="center"/>
          </w:tcPr>
          <w:p>
            <w:pPr>
              <w:widowControl/>
              <w:spacing w:line="240" w:lineRule="auto"/>
              <w:ind w:firstLine="0" w:firstLineChars="0"/>
              <w:jc w:val="center"/>
              <w:rPr>
                <w:sz w:val="18"/>
                <w:szCs w:val="18"/>
              </w:rPr>
            </w:pPr>
            <w:r>
              <w:rPr>
                <w:sz w:val="18"/>
                <w:szCs w:val="18"/>
              </w:rPr>
              <w:t>套</w:t>
            </w:r>
          </w:p>
        </w:tc>
        <w:tc>
          <w:tcPr>
            <w:tcW w:w="1534" w:type="pct"/>
            <w:vAlign w:val="center"/>
          </w:tcPr>
          <w:p>
            <w:pPr>
              <w:widowControl/>
              <w:spacing w:line="240" w:lineRule="auto"/>
              <w:ind w:firstLine="0" w:firstLineChars="0"/>
              <w:jc w:val="center"/>
              <w:rPr>
                <w:sz w:val="18"/>
                <w:szCs w:val="18"/>
              </w:rPr>
            </w:pPr>
            <w:r>
              <w:rPr>
                <w:sz w:val="18"/>
                <w:szCs w:val="18"/>
              </w:rPr>
              <w:t>1000</w:t>
            </w:r>
          </w:p>
        </w:tc>
        <w:tc>
          <w:tcPr>
            <w:tcW w:w="917" w:type="pct"/>
            <w:vAlign w:val="center"/>
          </w:tcPr>
          <w:p>
            <w:pPr>
              <w:widowControl/>
              <w:spacing w:line="240" w:lineRule="auto"/>
              <w:ind w:firstLine="0" w:firstLineChars="0"/>
              <w:jc w:val="center"/>
              <w:rPr>
                <w:sz w:val="18"/>
                <w:szCs w:val="18"/>
              </w:rPr>
            </w:pPr>
            <w:r>
              <w:rPr>
                <w:sz w:val="18"/>
                <w:szCs w:val="18"/>
              </w:rPr>
              <w:t>1000</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rFonts w:hint="eastAsia"/>
                <w:sz w:val="18"/>
                <w:szCs w:val="18"/>
              </w:rPr>
              <w:t>6</w:t>
            </w:r>
          </w:p>
        </w:tc>
        <w:tc>
          <w:tcPr>
            <w:tcW w:w="740" w:type="pct"/>
            <w:vAlign w:val="center"/>
          </w:tcPr>
          <w:p>
            <w:pPr>
              <w:widowControl/>
              <w:spacing w:line="240" w:lineRule="auto"/>
              <w:ind w:firstLine="0" w:firstLineChars="0"/>
              <w:jc w:val="center"/>
              <w:rPr>
                <w:sz w:val="18"/>
                <w:szCs w:val="18"/>
              </w:rPr>
            </w:pPr>
            <w:r>
              <w:rPr>
                <w:sz w:val="18"/>
                <w:szCs w:val="18"/>
              </w:rPr>
              <w:t>电器控制系统</w:t>
            </w:r>
          </w:p>
        </w:tc>
        <w:tc>
          <w:tcPr>
            <w:tcW w:w="453" w:type="pct"/>
            <w:vAlign w:val="center"/>
          </w:tcPr>
          <w:p>
            <w:pPr>
              <w:widowControl/>
              <w:spacing w:line="240" w:lineRule="auto"/>
              <w:ind w:firstLine="0" w:firstLineChars="0"/>
              <w:jc w:val="center"/>
              <w:rPr>
                <w:sz w:val="18"/>
                <w:szCs w:val="18"/>
              </w:rPr>
            </w:pPr>
            <w:r>
              <w:rPr>
                <w:sz w:val="18"/>
                <w:szCs w:val="18"/>
              </w:rPr>
              <w:t>套</w:t>
            </w:r>
          </w:p>
        </w:tc>
        <w:tc>
          <w:tcPr>
            <w:tcW w:w="1534" w:type="pct"/>
            <w:vAlign w:val="center"/>
          </w:tcPr>
          <w:p>
            <w:pPr>
              <w:widowControl/>
              <w:spacing w:line="240" w:lineRule="auto"/>
              <w:ind w:firstLine="0" w:firstLineChars="0"/>
              <w:jc w:val="center"/>
              <w:rPr>
                <w:sz w:val="18"/>
                <w:szCs w:val="18"/>
              </w:rPr>
            </w:pPr>
            <w:r>
              <w:rPr>
                <w:sz w:val="18"/>
                <w:szCs w:val="18"/>
              </w:rPr>
              <w:t>1000</w:t>
            </w:r>
          </w:p>
        </w:tc>
        <w:tc>
          <w:tcPr>
            <w:tcW w:w="917" w:type="pct"/>
            <w:vAlign w:val="center"/>
          </w:tcPr>
          <w:p>
            <w:pPr>
              <w:widowControl/>
              <w:spacing w:line="240" w:lineRule="auto"/>
              <w:ind w:firstLine="0" w:firstLineChars="0"/>
              <w:jc w:val="center"/>
              <w:rPr>
                <w:sz w:val="18"/>
                <w:szCs w:val="18"/>
              </w:rPr>
            </w:pPr>
            <w:r>
              <w:rPr>
                <w:sz w:val="18"/>
                <w:szCs w:val="18"/>
              </w:rPr>
              <w:t>1000</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rFonts w:hint="eastAsia"/>
                <w:sz w:val="18"/>
                <w:szCs w:val="18"/>
              </w:rPr>
              <w:t>7</w:t>
            </w:r>
          </w:p>
        </w:tc>
        <w:tc>
          <w:tcPr>
            <w:tcW w:w="740" w:type="pct"/>
            <w:vAlign w:val="center"/>
          </w:tcPr>
          <w:p>
            <w:pPr>
              <w:widowControl/>
              <w:spacing w:line="240" w:lineRule="auto"/>
              <w:ind w:firstLine="0" w:firstLineChars="0"/>
              <w:jc w:val="center"/>
              <w:rPr>
                <w:sz w:val="18"/>
                <w:szCs w:val="18"/>
              </w:rPr>
            </w:pPr>
            <w:r>
              <w:rPr>
                <w:sz w:val="18"/>
                <w:szCs w:val="18"/>
              </w:rPr>
              <w:t>焊丝</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sz w:val="18"/>
                <w:szCs w:val="18"/>
              </w:rPr>
              <w:t>15</w:t>
            </w:r>
          </w:p>
        </w:tc>
        <w:tc>
          <w:tcPr>
            <w:tcW w:w="917" w:type="pct"/>
            <w:vAlign w:val="center"/>
          </w:tcPr>
          <w:p>
            <w:pPr>
              <w:widowControl/>
              <w:spacing w:line="240" w:lineRule="auto"/>
              <w:ind w:firstLine="0" w:firstLineChars="0"/>
              <w:jc w:val="center"/>
              <w:rPr>
                <w:sz w:val="18"/>
                <w:szCs w:val="18"/>
              </w:rPr>
            </w:pPr>
            <w:r>
              <w:rPr>
                <w:sz w:val="18"/>
                <w:szCs w:val="18"/>
              </w:rPr>
              <w:t>15</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rFonts w:hint="eastAsia"/>
                <w:sz w:val="18"/>
                <w:szCs w:val="18"/>
              </w:rPr>
              <w:t>8</w:t>
            </w:r>
          </w:p>
        </w:tc>
        <w:tc>
          <w:tcPr>
            <w:tcW w:w="740" w:type="pct"/>
            <w:vAlign w:val="center"/>
          </w:tcPr>
          <w:p>
            <w:pPr>
              <w:widowControl/>
              <w:spacing w:line="240" w:lineRule="auto"/>
              <w:ind w:firstLine="0" w:firstLineChars="0"/>
              <w:jc w:val="center"/>
              <w:rPr>
                <w:sz w:val="18"/>
                <w:szCs w:val="18"/>
              </w:rPr>
            </w:pPr>
            <w:r>
              <w:rPr>
                <w:sz w:val="18"/>
                <w:szCs w:val="18"/>
              </w:rPr>
              <w:t>二氧化碳</w:t>
            </w:r>
          </w:p>
        </w:tc>
        <w:tc>
          <w:tcPr>
            <w:tcW w:w="453" w:type="pct"/>
            <w:vAlign w:val="center"/>
          </w:tcPr>
          <w:p>
            <w:pPr>
              <w:widowControl/>
              <w:spacing w:line="240" w:lineRule="auto"/>
              <w:ind w:firstLine="0" w:firstLineChars="0"/>
              <w:jc w:val="center"/>
              <w:rPr>
                <w:sz w:val="18"/>
                <w:szCs w:val="18"/>
              </w:rPr>
            </w:pPr>
            <w:r>
              <w:rPr>
                <w:sz w:val="18"/>
                <w:szCs w:val="18"/>
              </w:rPr>
              <w:t>m³</w:t>
            </w:r>
          </w:p>
        </w:tc>
        <w:tc>
          <w:tcPr>
            <w:tcW w:w="1534" w:type="pct"/>
            <w:vAlign w:val="center"/>
          </w:tcPr>
          <w:p>
            <w:pPr>
              <w:widowControl/>
              <w:spacing w:line="240" w:lineRule="auto"/>
              <w:ind w:firstLine="0" w:firstLineChars="0"/>
              <w:jc w:val="center"/>
              <w:rPr>
                <w:sz w:val="18"/>
                <w:szCs w:val="18"/>
              </w:rPr>
            </w:pPr>
            <w:r>
              <w:rPr>
                <w:sz w:val="18"/>
                <w:szCs w:val="18"/>
              </w:rPr>
              <w:t>35</w:t>
            </w:r>
          </w:p>
        </w:tc>
        <w:tc>
          <w:tcPr>
            <w:tcW w:w="917" w:type="pct"/>
            <w:vAlign w:val="center"/>
          </w:tcPr>
          <w:p>
            <w:pPr>
              <w:widowControl/>
              <w:spacing w:line="240" w:lineRule="auto"/>
              <w:ind w:firstLine="0" w:firstLineChars="0"/>
              <w:jc w:val="center"/>
              <w:rPr>
                <w:sz w:val="18"/>
                <w:szCs w:val="18"/>
              </w:rPr>
            </w:pPr>
            <w:r>
              <w:rPr>
                <w:sz w:val="18"/>
                <w:szCs w:val="18"/>
              </w:rPr>
              <w:t>35</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rFonts w:hint="eastAsia"/>
                <w:sz w:val="18"/>
                <w:szCs w:val="18"/>
              </w:rPr>
              <w:t>9</w:t>
            </w:r>
          </w:p>
        </w:tc>
        <w:tc>
          <w:tcPr>
            <w:tcW w:w="740" w:type="pct"/>
            <w:vAlign w:val="center"/>
          </w:tcPr>
          <w:p>
            <w:pPr>
              <w:widowControl/>
              <w:spacing w:line="240" w:lineRule="auto"/>
              <w:ind w:firstLine="0" w:firstLineChars="0"/>
              <w:jc w:val="center"/>
              <w:rPr>
                <w:sz w:val="18"/>
                <w:szCs w:val="18"/>
              </w:rPr>
            </w:pPr>
            <w:r>
              <w:rPr>
                <w:sz w:val="18"/>
                <w:szCs w:val="18"/>
              </w:rPr>
              <w:t>水性底漆</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rFonts w:hint="eastAsia"/>
                <w:sz w:val="18"/>
                <w:szCs w:val="18"/>
              </w:rPr>
              <w:t>6.2</w:t>
            </w:r>
          </w:p>
        </w:tc>
        <w:tc>
          <w:tcPr>
            <w:tcW w:w="917" w:type="pct"/>
            <w:vAlign w:val="center"/>
          </w:tcPr>
          <w:p>
            <w:pPr>
              <w:widowControl/>
              <w:spacing w:line="240" w:lineRule="auto"/>
              <w:ind w:firstLine="0" w:firstLineChars="0"/>
              <w:jc w:val="center"/>
              <w:rPr>
                <w:sz w:val="18"/>
                <w:szCs w:val="18"/>
              </w:rPr>
            </w:pPr>
            <w:r>
              <w:rPr>
                <w:rFonts w:hint="eastAsia"/>
                <w:sz w:val="18"/>
                <w:szCs w:val="18"/>
              </w:rPr>
              <w:t>6.2</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1</w:t>
            </w:r>
            <w:r>
              <w:rPr>
                <w:rFonts w:hint="eastAsia"/>
                <w:sz w:val="18"/>
                <w:szCs w:val="18"/>
              </w:rPr>
              <w:t>0</w:t>
            </w:r>
          </w:p>
        </w:tc>
        <w:tc>
          <w:tcPr>
            <w:tcW w:w="740" w:type="pct"/>
            <w:vAlign w:val="center"/>
          </w:tcPr>
          <w:p>
            <w:pPr>
              <w:widowControl/>
              <w:spacing w:line="240" w:lineRule="auto"/>
              <w:ind w:firstLine="0" w:firstLineChars="0"/>
              <w:jc w:val="center"/>
              <w:rPr>
                <w:sz w:val="18"/>
                <w:szCs w:val="18"/>
              </w:rPr>
            </w:pPr>
            <w:r>
              <w:rPr>
                <w:sz w:val="18"/>
                <w:szCs w:val="18"/>
              </w:rPr>
              <w:t>水性面漆</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rFonts w:hint="eastAsia"/>
                <w:sz w:val="18"/>
                <w:szCs w:val="18"/>
              </w:rPr>
              <w:t>4.45</w:t>
            </w:r>
          </w:p>
        </w:tc>
        <w:tc>
          <w:tcPr>
            <w:tcW w:w="917" w:type="pct"/>
            <w:vAlign w:val="center"/>
          </w:tcPr>
          <w:p>
            <w:pPr>
              <w:widowControl/>
              <w:spacing w:line="240" w:lineRule="auto"/>
              <w:ind w:firstLine="0" w:firstLineChars="0"/>
              <w:jc w:val="center"/>
              <w:rPr>
                <w:sz w:val="18"/>
                <w:szCs w:val="18"/>
              </w:rPr>
            </w:pPr>
            <w:r>
              <w:rPr>
                <w:rFonts w:hint="eastAsia"/>
                <w:sz w:val="18"/>
                <w:szCs w:val="18"/>
              </w:rPr>
              <w:t>4.45</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r>
              <w:rPr>
                <w:sz w:val="18"/>
                <w:szCs w:val="18"/>
              </w:rPr>
              <w:t>1</w:t>
            </w:r>
            <w:r>
              <w:rPr>
                <w:rFonts w:hint="eastAsia"/>
                <w:sz w:val="18"/>
                <w:szCs w:val="18"/>
              </w:rPr>
              <w:t>1</w:t>
            </w:r>
          </w:p>
        </w:tc>
        <w:tc>
          <w:tcPr>
            <w:tcW w:w="740" w:type="pct"/>
            <w:vAlign w:val="center"/>
          </w:tcPr>
          <w:p>
            <w:pPr>
              <w:widowControl/>
              <w:spacing w:line="240" w:lineRule="auto"/>
              <w:ind w:firstLine="0" w:firstLineChars="0"/>
              <w:jc w:val="center"/>
              <w:rPr>
                <w:sz w:val="18"/>
                <w:szCs w:val="18"/>
              </w:rPr>
            </w:pPr>
            <w:r>
              <w:rPr>
                <w:sz w:val="18"/>
                <w:szCs w:val="18"/>
              </w:rPr>
              <w:t>塑粉</w:t>
            </w:r>
          </w:p>
        </w:tc>
        <w:tc>
          <w:tcPr>
            <w:tcW w:w="453" w:type="pct"/>
            <w:vAlign w:val="center"/>
          </w:tcPr>
          <w:p>
            <w:pPr>
              <w:widowControl/>
              <w:spacing w:line="240" w:lineRule="auto"/>
              <w:ind w:firstLine="0" w:firstLineChars="0"/>
              <w:jc w:val="center"/>
              <w:rPr>
                <w:sz w:val="18"/>
                <w:szCs w:val="18"/>
              </w:rPr>
            </w:pPr>
            <w:r>
              <w:rPr>
                <w:sz w:val="18"/>
                <w:szCs w:val="18"/>
              </w:rPr>
              <w:t>吨</w:t>
            </w:r>
          </w:p>
        </w:tc>
        <w:tc>
          <w:tcPr>
            <w:tcW w:w="1534" w:type="pct"/>
            <w:vAlign w:val="center"/>
          </w:tcPr>
          <w:p>
            <w:pPr>
              <w:widowControl/>
              <w:spacing w:line="240" w:lineRule="auto"/>
              <w:ind w:firstLine="0" w:firstLineChars="0"/>
              <w:jc w:val="center"/>
              <w:rPr>
                <w:sz w:val="18"/>
                <w:szCs w:val="18"/>
              </w:rPr>
            </w:pPr>
            <w:r>
              <w:rPr>
                <w:rFonts w:hint="eastAsia"/>
                <w:sz w:val="18"/>
                <w:szCs w:val="18"/>
              </w:rPr>
              <w:t>3.9</w:t>
            </w:r>
          </w:p>
        </w:tc>
        <w:tc>
          <w:tcPr>
            <w:tcW w:w="917" w:type="pct"/>
            <w:vAlign w:val="center"/>
          </w:tcPr>
          <w:p>
            <w:pPr>
              <w:widowControl/>
              <w:spacing w:line="240" w:lineRule="auto"/>
              <w:ind w:firstLine="0" w:firstLineChars="0"/>
              <w:jc w:val="center"/>
              <w:rPr>
                <w:sz w:val="18"/>
                <w:szCs w:val="18"/>
              </w:rPr>
            </w:pPr>
            <w:r>
              <w:rPr>
                <w:rFonts w:hint="eastAsia"/>
                <w:sz w:val="18"/>
                <w:szCs w:val="18"/>
              </w:rPr>
              <w:t>3.9</w:t>
            </w:r>
          </w:p>
        </w:tc>
        <w:tc>
          <w:tcPr>
            <w:tcW w:w="1035" w:type="pct"/>
            <w:vAlign w:val="center"/>
          </w:tcPr>
          <w:p>
            <w:pPr>
              <w:widowControl/>
              <w:spacing w:line="240" w:lineRule="auto"/>
              <w:ind w:firstLine="0" w:firstLineChars="0"/>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pPr>
              <w:widowControl/>
              <w:spacing w:line="240" w:lineRule="auto"/>
              <w:ind w:firstLine="0" w:firstLineChars="0"/>
              <w:jc w:val="center"/>
              <w:rPr>
                <w:sz w:val="18"/>
                <w:szCs w:val="18"/>
              </w:rPr>
            </w:pPr>
            <w:bookmarkStart w:id="334" w:name="_Toc27071"/>
            <w:bookmarkStart w:id="335" w:name="_Toc8666"/>
            <w:bookmarkStart w:id="336" w:name="_Toc1726"/>
            <w:bookmarkStart w:id="337" w:name="_Toc27516_WPSOffice_Level2"/>
            <w:bookmarkStart w:id="338" w:name="_Toc31796"/>
            <w:bookmarkStart w:id="339" w:name="_Toc14501"/>
            <w:bookmarkStart w:id="340" w:name="_Toc16289"/>
            <w:bookmarkStart w:id="341" w:name="_Toc13288"/>
            <w:bookmarkStart w:id="342" w:name="_Toc8679"/>
            <w:bookmarkStart w:id="343" w:name="_Toc12276"/>
            <w:bookmarkStart w:id="344" w:name="_Toc13064"/>
            <w:bookmarkStart w:id="345" w:name="_Toc508787704"/>
            <w:bookmarkStart w:id="346" w:name="_Toc12167"/>
            <w:bookmarkStart w:id="347" w:name="_Toc28555_WPSOffice_Level2"/>
            <w:bookmarkStart w:id="348" w:name="_Toc2968"/>
            <w:bookmarkStart w:id="349" w:name="_Toc13398"/>
            <w:bookmarkStart w:id="350" w:name="_Toc9465"/>
            <w:bookmarkStart w:id="351" w:name="_Toc15982"/>
            <w:bookmarkStart w:id="352" w:name="_Toc30185"/>
            <w:bookmarkStart w:id="353" w:name="_Toc15869_WPSOffice_Level2"/>
            <w:bookmarkStart w:id="354" w:name="_Toc17043"/>
            <w:bookmarkStart w:id="355" w:name="_Toc2424_WPSOffice_Level2"/>
            <w:bookmarkStart w:id="356" w:name="_Toc14190"/>
            <w:bookmarkStart w:id="357" w:name="_Toc21811_WPSOffice_Level2"/>
            <w:r>
              <w:rPr>
                <w:rFonts w:hint="eastAsia"/>
                <w:sz w:val="18"/>
                <w:szCs w:val="18"/>
              </w:rPr>
              <w:t>12</w:t>
            </w:r>
          </w:p>
        </w:tc>
        <w:tc>
          <w:tcPr>
            <w:tcW w:w="740" w:type="pct"/>
            <w:vAlign w:val="center"/>
          </w:tcPr>
          <w:p>
            <w:pPr>
              <w:widowControl/>
              <w:spacing w:line="240" w:lineRule="auto"/>
              <w:ind w:firstLine="0" w:firstLineChars="0"/>
              <w:jc w:val="center"/>
              <w:rPr>
                <w:sz w:val="18"/>
                <w:szCs w:val="18"/>
              </w:rPr>
            </w:pPr>
            <w:r>
              <w:rPr>
                <w:rFonts w:hint="eastAsia"/>
                <w:sz w:val="18"/>
                <w:szCs w:val="18"/>
              </w:rPr>
              <w:t>活性炭</w:t>
            </w:r>
          </w:p>
        </w:tc>
        <w:tc>
          <w:tcPr>
            <w:tcW w:w="453" w:type="pct"/>
            <w:vAlign w:val="center"/>
          </w:tcPr>
          <w:p>
            <w:pPr>
              <w:widowControl/>
              <w:spacing w:line="240" w:lineRule="auto"/>
              <w:ind w:firstLine="0" w:firstLineChars="0"/>
              <w:jc w:val="center"/>
              <w:rPr>
                <w:sz w:val="18"/>
                <w:szCs w:val="18"/>
              </w:rPr>
            </w:pPr>
            <w:r>
              <w:rPr>
                <w:rFonts w:hint="eastAsia"/>
                <w:sz w:val="18"/>
                <w:szCs w:val="18"/>
              </w:rPr>
              <w:t>吨</w:t>
            </w:r>
          </w:p>
        </w:tc>
        <w:tc>
          <w:tcPr>
            <w:tcW w:w="1534" w:type="pct"/>
            <w:vAlign w:val="center"/>
          </w:tcPr>
          <w:p>
            <w:pPr>
              <w:widowControl/>
              <w:spacing w:line="240" w:lineRule="auto"/>
              <w:ind w:firstLine="0" w:firstLineChars="0"/>
              <w:jc w:val="center"/>
              <w:rPr>
                <w:sz w:val="18"/>
                <w:szCs w:val="18"/>
              </w:rPr>
            </w:pPr>
            <w:r>
              <w:rPr>
                <w:rFonts w:hint="eastAsia"/>
                <w:sz w:val="18"/>
                <w:szCs w:val="18"/>
              </w:rPr>
              <w:t>1</w:t>
            </w:r>
          </w:p>
        </w:tc>
        <w:tc>
          <w:tcPr>
            <w:tcW w:w="917" w:type="pct"/>
            <w:vAlign w:val="center"/>
          </w:tcPr>
          <w:p>
            <w:pPr>
              <w:widowControl/>
              <w:spacing w:line="240" w:lineRule="auto"/>
              <w:ind w:firstLine="0" w:firstLineChars="0"/>
              <w:jc w:val="center"/>
              <w:rPr>
                <w:sz w:val="18"/>
                <w:szCs w:val="18"/>
              </w:rPr>
            </w:pPr>
            <w:r>
              <w:rPr>
                <w:rFonts w:hint="eastAsia"/>
                <w:sz w:val="18"/>
                <w:szCs w:val="18"/>
              </w:rPr>
              <w:t>1</w:t>
            </w:r>
          </w:p>
        </w:tc>
        <w:tc>
          <w:tcPr>
            <w:tcW w:w="1035" w:type="pct"/>
            <w:vAlign w:val="center"/>
          </w:tcPr>
          <w:p>
            <w:pPr>
              <w:widowControl/>
              <w:spacing w:line="240" w:lineRule="auto"/>
              <w:ind w:firstLine="0" w:firstLineChars="0"/>
              <w:jc w:val="center"/>
              <w:rPr>
                <w:sz w:val="18"/>
                <w:szCs w:val="18"/>
              </w:rPr>
            </w:pPr>
            <w:r>
              <w:rPr>
                <w:sz w:val="18"/>
                <w:szCs w:val="18"/>
              </w:rPr>
              <w:t>外购</w:t>
            </w:r>
          </w:p>
        </w:tc>
      </w:tr>
    </w:tbl>
    <w:p>
      <w:pPr>
        <w:pStyle w:val="48"/>
      </w:pPr>
      <w:r>
        <w:t>表3.3-2 产品方案一览表</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1446"/>
        <w:gridCol w:w="2232"/>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vAlign w:val="center"/>
          </w:tcPr>
          <w:p>
            <w:pPr>
              <w:widowControl/>
              <w:spacing w:line="240" w:lineRule="auto"/>
              <w:ind w:firstLine="0" w:firstLineChars="0"/>
              <w:jc w:val="center"/>
              <w:rPr>
                <w:sz w:val="18"/>
                <w:szCs w:val="18"/>
              </w:rPr>
            </w:pPr>
            <w:r>
              <w:rPr>
                <w:sz w:val="18"/>
                <w:szCs w:val="18"/>
              </w:rPr>
              <w:t>产品方案</w:t>
            </w:r>
          </w:p>
        </w:tc>
        <w:tc>
          <w:tcPr>
            <w:tcW w:w="751" w:type="pct"/>
            <w:vAlign w:val="center"/>
          </w:tcPr>
          <w:p>
            <w:pPr>
              <w:widowControl/>
              <w:spacing w:line="240" w:lineRule="auto"/>
              <w:ind w:firstLine="0" w:firstLineChars="0"/>
              <w:jc w:val="center"/>
              <w:rPr>
                <w:sz w:val="18"/>
                <w:szCs w:val="18"/>
              </w:rPr>
            </w:pPr>
            <w:r>
              <w:rPr>
                <w:sz w:val="18"/>
                <w:szCs w:val="18"/>
              </w:rPr>
              <w:t>单位</w:t>
            </w:r>
          </w:p>
        </w:tc>
        <w:tc>
          <w:tcPr>
            <w:tcW w:w="1159" w:type="pct"/>
            <w:vAlign w:val="center"/>
          </w:tcPr>
          <w:p>
            <w:pPr>
              <w:widowControl/>
              <w:spacing w:line="240" w:lineRule="auto"/>
              <w:ind w:firstLine="0" w:firstLineChars="0"/>
              <w:jc w:val="center"/>
              <w:rPr>
                <w:sz w:val="18"/>
                <w:szCs w:val="18"/>
              </w:rPr>
            </w:pPr>
            <w:r>
              <w:rPr>
                <w:sz w:val="18"/>
                <w:szCs w:val="18"/>
              </w:rPr>
              <w:t>环评设计产量</w:t>
            </w:r>
          </w:p>
        </w:tc>
        <w:tc>
          <w:tcPr>
            <w:tcW w:w="1485" w:type="pct"/>
            <w:vAlign w:val="center"/>
          </w:tcPr>
          <w:p>
            <w:pPr>
              <w:widowControl/>
              <w:spacing w:line="240" w:lineRule="auto"/>
              <w:ind w:firstLine="0" w:firstLineChars="0"/>
              <w:jc w:val="center"/>
              <w:rPr>
                <w:sz w:val="18"/>
                <w:szCs w:val="18"/>
              </w:rPr>
            </w:pPr>
            <w:bookmarkStart w:id="358" w:name="_Toc8532"/>
            <w:bookmarkStart w:id="359" w:name="_Toc32201"/>
            <w:r>
              <w:rPr>
                <w:sz w:val="18"/>
                <w:szCs w:val="18"/>
              </w:rPr>
              <w:t>实际建设产</w:t>
            </w:r>
            <w:bookmarkEnd w:id="358"/>
            <w:bookmarkEnd w:id="359"/>
            <w:r>
              <w:rPr>
                <w:rFonts w:hint="eastAsia"/>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vAlign w:val="center"/>
          </w:tcPr>
          <w:p>
            <w:pPr>
              <w:widowControl/>
              <w:spacing w:line="240" w:lineRule="auto"/>
              <w:ind w:firstLine="0" w:firstLineChars="0"/>
              <w:jc w:val="center"/>
              <w:rPr>
                <w:sz w:val="18"/>
                <w:szCs w:val="18"/>
              </w:rPr>
            </w:pPr>
            <w:r>
              <w:rPr>
                <w:sz w:val="18"/>
                <w:szCs w:val="18"/>
              </w:rPr>
              <w:t>智能木业码垛机械设备</w:t>
            </w:r>
          </w:p>
        </w:tc>
        <w:tc>
          <w:tcPr>
            <w:tcW w:w="751" w:type="pct"/>
            <w:vAlign w:val="center"/>
          </w:tcPr>
          <w:p>
            <w:pPr>
              <w:widowControl/>
              <w:spacing w:line="240" w:lineRule="auto"/>
              <w:ind w:firstLine="0" w:firstLineChars="0"/>
              <w:jc w:val="center"/>
              <w:rPr>
                <w:sz w:val="18"/>
                <w:szCs w:val="18"/>
              </w:rPr>
            </w:pPr>
            <w:r>
              <w:rPr>
                <w:sz w:val="18"/>
                <w:szCs w:val="18"/>
              </w:rPr>
              <w:t>套/a</w:t>
            </w:r>
          </w:p>
        </w:tc>
        <w:tc>
          <w:tcPr>
            <w:tcW w:w="1159" w:type="pct"/>
            <w:vAlign w:val="center"/>
          </w:tcPr>
          <w:p>
            <w:pPr>
              <w:widowControl/>
              <w:spacing w:line="240" w:lineRule="auto"/>
              <w:ind w:firstLine="0" w:firstLineChars="0"/>
              <w:jc w:val="center"/>
              <w:rPr>
                <w:sz w:val="18"/>
                <w:szCs w:val="18"/>
              </w:rPr>
            </w:pPr>
            <w:r>
              <w:rPr>
                <w:sz w:val="18"/>
                <w:szCs w:val="18"/>
              </w:rPr>
              <w:t>1000</w:t>
            </w:r>
          </w:p>
        </w:tc>
        <w:tc>
          <w:tcPr>
            <w:tcW w:w="1485" w:type="pct"/>
            <w:vAlign w:val="center"/>
          </w:tcPr>
          <w:p>
            <w:pPr>
              <w:widowControl/>
              <w:spacing w:line="240" w:lineRule="auto"/>
              <w:ind w:firstLine="0" w:firstLineChars="0"/>
              <w:jc w:val="center"/>
              <w:rPr>
                <w:sz w:val="18"/>
                <w:szCs w:val="18"/>
              </w:rPr>
            </w:pPr>
            <w:r>
              <w:rPr>
                <w:rFonts w:hint="eastAsia"/>
                <w:sz w:val="18"/>
                <w:szCs w:val="18"/>
              </w:rPr>
              <w:t>1</w:t>
            </w:r>
            <w:r>
              <w:rPr>
                <w:sz w:val="18"/>
                <w:szCs w:val="18"/>
              </w:rPr>
              <w:t>000</w:t>
            </w:r>
          </w:p>
        </w:tc>
      </w:tr>
    </w:tbl>
    <w:p>
      <w:pPr>
        <w:pStyle w:val="4"/>
      </w:pPr>
      <w:bookmarkStart w:id="360" w:name="_Toc17735"/>
      <w:bookmarkStart w:id="361" w:name="_Toc5880"/>
      <w:r>
        <w:t>3.4水源及水平衡</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60"/>
      <w:bookmarkEnd w:id="361"/>
    </w:p>
    <w:p>
      <w:pPr>
        <w:pStyle w:val="5"/>
      </w:pPr>
      <w:bookmarkStart w:id="362" w:name="_Toc6273_WPSOffice_Level3"/>
      <w:r>
        <w:t>3.4.1</w:t>
      </w:r>
      <w:bookmarkEnd w:id="362"/>
      <w:r>
        <w:t>水源</w:t>
      </w:r>
    </w:p>
    <w:p>
      <w:pPr>
        <w:ind w:firstLine="480"/>
      </w:pPr>
      <w:bookmarkStart w:id="363" w:name="_Toc29386_WPSOffice_Level3"/>
      <w:r>
        <w:t>本项目所在区域有完善的供水系统，运营期主要为员工生活用水及调漆用水</w:t>
      </w:r>
      <w:r>
        <w:rPr>
          <w:rFonts w:hint="eastAsia"/>
        </w:rPr>
        <w:t>。</w:t>
      </w:r>
    </w:p>
    <w:p>
      <w:pPr>
        <w:pStyle w:val="5"/>
      </w:pPr>
      <w:r>
        <w:t>3.4.2水平衡</w:t>
      </w:r>
    </w:p>
    <w:p>
      <w:pPr>
        <w:numPr>
          <w:ilvl w:val="0"/>
          <w:numId w:val="3"/>
        </w:numPr>
        <w:ind w:firstLine="482"/>
        <w:rPr>
          <w:b/>
          <w:bCs/>
        </w:rPr>
      </w:pPr>
      <w:r>
        <w:rPr>
          <w:b/>
          <w:bCs/>
        </w:rPr>
        <w:t>用水</w:t>
      </w:r>
    </w:p>
    <w:p>
      <w:pPr>
        <w:ind w:firstLine="480"/>
      </w:pPr>
      <w:r>
        <w:t>（1）生活用水</w:t>
      </w:r>
    </w:p>
    <w:p>
      <w:pPr>
        <w:ind w:firstLine="480"/>
      </w:pPr>
      <w:r>
        <w:t>建设项目总定员</w:t>
      </w:r>
      <w:r>
        <w:rPr>
          <w:rFonts w:hint="eastAsia"/>
        </w:rPr>
        <w:t>36</w:t>
      </w:r>
      <w:r>
        <w:t>人，均不在厂区食宿，年工作300d，生活用水量为</w:t>
      </w:r>
      <w:r>
        <w:rPr>
          <w:rFonts w:hint="eastAsia"/>
        </w:rPr>
        <w:t>1.8</w:t>
      </w:r>
      <w:r>
        <w:t>m</w:t>
      </w:r>
      <w:r>
        <w:rPr>
          <w:vertAlign w:val="superscript"/>
        </w:rPr>
        <w:t>3</w:t>
      </w:r>
      <w:r>
        <w:t>/d</w:t>
      </w:r>
      <w:r>
        <w:rPr>
          <w:rFonts w:hint="eastAsia"/>
        </w:rPr>
        <w:t>，540</w:t>
      </w:r>
      <w:r>
        <w:t>m</w:t>
      </w:r>
      <w:r>
        <w:rPr>
          <w:vertAlign w:val="superscript"/>
        </w:rPr>
        <w:t>3</w:t>
      </w:r>
      <w:r>
        <w:t>/a。</w:t>
      </w:r>
    </w:p>
    <w:p>
      <w:pPr>
        <w:ind w:firstLine="480"/>
        <w:jc w:val="left"/>
      </w:pPr>
      <w:r>
        <w:rPr>
          <w:rFonts w:hint="eastAsia"/>
        </w:rPr>
        <w:t>（2）</w:t>
      </w:r>
      <w:r>
        <w:t>生产用水</w:t>
      </w:r>
    </w:p>
    <w:p>
      <w:pPr>
        <w:pStyle w:val="50"/>
        <w:spacing w:line="360" w:lineRule="auto"/>
        <w:ind w:firstLine="480" w:firstLineChars="200"/>
        <w:rPr>
          <w:rFonts w:ascii="Times New Roman" w:hAnsi="Times New Roman" w:cs="Times New Roman"/>
          <w:color w:val="auto"/>
        </w:rPr>
      </w:pPr>
      <w:r>
        <w:rPr>
          <w:rFonts w:ascii="Times New Roman" w:hAnsi="Times New Roman" w:cs="Times New Roman"/>
          <w:color w:val="auto"/>
        </w:rPr>
        <w:t>本项目工作底漆和面漆总含水量为</w:t>
      </w:r>
      <w:r>
        <w:rPr>
          <w:rFonts w:hint="eastAsia" w:ascii="Times New Roman" w:hAnsi="Times New Roman" w:cs="Times New Roman"/>
          <w:color w:val="auto"/>
        </w:rPr>
        <w:t>5.06</w:t>
      </w:r>
      <w:r>
        <w:rPr>
          <w:rFonts w:ascii="Times New Roman" w:hAnsi="Times New Roman" w:cs="Times New Roman"/>
          <w:color w:val="auto"/>
        </w:rPr>
        <w:t>t/a，约30%的水量为企业后期添加，调漆用水量约为1.</w:t>
      </w:r>
      <w:r>
        <w:rPr>
          <w:rFonts w:hint="eastAsia" w:ascii="Times New Roman" w:hAnsi="Times New Roman" w:cs="Times New Roman"/>
          <w:color w:val="auto"/>
        </w:rPr>
        <w:t>5</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/a</w:t>
      </w:r>
      <w:r>
        <w:rPr>
          <w:rFonts w:hint="eastAsia" w:ascii="Times New Roman" w:hAnsi="Times New Roman" w:cs="Times New Roman"/>
          <w:color w:val="auto"/>
        </w:rPr>
        <w:t>。</w:t>
      </w:r>
    </w:p>
    <w:p>
      <w:pPr>
        <w:pStyle w:val="50"/>
        <w:spacing w:line="360" w:lineRule="auto"/>
        <w:ind w:firstLine="480" w:firstLineChars="200"/>
        <w:rPr>
          <w:rFonts w:ascii="Times New Roman" w:hAnsi="Times New Roman" w:cs="Times New Roman"/>
          <w:color w:val="auto"/>
        </w:rPr>
      </w:pPr>
      <w:r>
        <w:rPr>
          <w:rFonts w:ascii="Times New Roman" w:hAnsi="Times New Roman" w:cs="Times New Roman"/>
          <w:color w:val="auto"/>
        </w:rPr>
        <w:t>综上，本项目全厂年消耗新鲜水</w:t>
      </w:r>
      <w:r>
        <w:rPr>
          <w:rFonts w:hint="eastAsia" w:ascii="Times New Roman" w:hAnsi="Times New Roman" w:cs="Times New Roman"/>
          <w:color w:val="auto"/>
        </w:rPr>
        <w:t>541.5</w:t>
      </w:r>
      <w:r>
        <w:rPr>
          <w:rFonts w:ascii="Times New Roman" w:hAnsi="Times New Roman" w:cs="Times New Roman"/>
          <w:color w:val="auto"/>
        </w:rPr>
        <w:t xml:space="preserve"> m</w:t>
      </w:r>
      <w:r>
        <w:rPr>
          <w:rFonts w:ascii="Times New Roman" w:hAnsi="Times New Roman" w:cs="Times New Roman"/>
          <w:color w:val="auto"/>
          <w:vertAlign w:val="superscript"/>
        </w:rPr>
        <w:t>3</w:t>
      </w:r>
      <w:r>
        <w:rPr>
          <w:rFonts w:ascii="Times New Roman" w:hAnsi="Times New Roman" w:cs="Times New Roman"/>
          <w:color w:val="auto"/>
        </w:rPr>
        <w:t>/a，使用区域自来水。</w:t>
      </w:r>
    </w:p>
    <w:p>
      <w:pPr>
        <w:ind w:firstLine="482"/>
        <w:rPr>
          <w:b/>
          <w:bCs/>
        </w:rPr>
      </w:pPr>
      <w:r>
        <w:rPr>
          <w:b/>
          <w:bCs/>
        </w:rPr>
        <w:t>2、排水</w:t>
      </w:r>
    </w:p>
    <w:p>
      <w:pPr>
        <w:ind w:firstLine="480"/>
        <w:jc w:val="left"/>
        <w:rPr>
          <w:bCs/>
        </w:rPr>
      </w:pPr>
      <w:r>
        <w:rPr>
          <w:bCs/>
        </w:rPr>
        <w:t>厂区排水采用“雨污分流制”，屋面雨水经落水管排至城镇雨水管网；项目废水主要为生活</w:t>
      </w:r>
      <w:r>
        <w:rPr>
          <w:rFonts w:hint="eastAsia"/>
          <w:bCs/>
        </w:rPr>
        <w:t>污</w:t>
      </w:r>
      <w:r>
        <w:rPr>
          <w:bCs/>
        </w:rPr>
        <w:t>水。</w:t>
      </w:r>
    </w:p>
    <w:p>
      <w:pPr>
        <w:tabs>
          <w:tab w:val="left" w:pos="2745"/>
        </w:tabs>
        <w:ind w:firstLine="480"/>
        <w:jc w:val="left"/>
      </w:pPr>
      <w:r>
        <w:t>生活污水产生量为</w:t>
      </w:r>
      <w:r>
        <w:rPr>
          <w:rFonts w:hint="eastAsia"/>
        </w:rPr>
        <w:t>432</w:t>
      </w:r>
      <w:r>
        <w:t>m</w:t>
      </w:r>
      <w:r>
        <w:rPr>
          <w:vertAlign w:val="superscript"/>
        </w:rPr>
        <w:t>3</w:t>
      </w:r>
      <w:r>
        <w:t>/a，</w:t>
      </w:r>
      <w:r>
        <w:rPr>
          <w:rFonts w:hint="eastAsia"/>
        </w:rPr>
        <w:t>经化粪池处理后，由厂区生活污水处理站处理</w:t>
      </w:r>
      <w:r>
        <w:t>，</w:t>
      </w:r>
      <w:r>
        <w:rPr>
          <w:rFonts w:hint="eastAsia"/>
        </w:rPr>
        <w:t>达到</w:t>
      </w:r>
      <w:r>
        <w:t>《城市污水再生利用 绿地灌溉水质</w:t>
      </w:r>
      <w:r>
        <w:rPr>
          <w:highlight w:val="none"/>
        </w:rPr>
        <w:t>》(</w:t>
      </w:r>
      <w:r>
        <w:rPr>
          <w:rFonts w:hint="eastAsia"/>
          <w:highlight w:val="none"/>
          <w:lang w:eastAsia="zh-CN"/>
        </w:rPr>
        <w:t>GB</w:t>
      </w:r>
      <w:r>
        <w:rPr>
          <w:highlight w:val="none"/>
        </w:rPr>
        <w:t>/T25499-2010)标</w:t>
      </w:r>
      <w:r>
        <w:t>准后回用于</w:t>
      </w:r>
      <w:r>
        <w:rPr>
          <w:rFonts w:hint="eastAsia"/>
        </w:rPr>
        <w:t>厂区路面喷洒及绿化，不外排</w:t>
      </w:r>
      <w:r>
        <w:t>。</w:t>
      </w:r>
    </w:p>
    <w:p>
      <w:pPr>
        <w:ind w:firstLine="480"/>
      </w:pPr>
      <w:r>
        <w:t>项目用排水情况见表3.4-1。</w:t>
      </w:r>
    </w:p>
    <w:p>
      <w:pPr>
        <w:ind w:firstLine="480"/>
        <w:jc w:val="center"/>
        <w:rPr>
          <w:rFonts w:eastAsia="黑体"/>
          <w:bCs/>
        </w:rPr>
      </w:pPr>
      <w:r>
        <w:rPr>
          <w:rFonts w:eastAsia="黑体"/>
          <w:bCs/>
        </w:rPr>
        <w:t>表3.4-1 用排水情况一览表</w:t>
      </w:r>
    </w:p>
    <w:tbl>
      <w:tblPr>
        <w:tblStyle w:val="3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264"/>
        <w:gridCol w:w="1481"/>
        <w:gridCol w:w="1331"/>
        <w:gridCol w:w="1149"/>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6" w:type="pct"/>
            <w:vAlign w:val="center"/>
          </w:tcPr>
          <w:p>
            <w:pPr>
              <w:widowControl/>
              <w:spacing w:line="240" w:lineRule="auto"/>
              <w:ind w:firstLine="0" w:firstLineChars="0"/>
              <w:jc w:val="center"/>
              <w:rPr>
                <w:sz w:val="18"/>
                <w:szCs w:val="18"/>
              </w:rPr>
            </w:pPr>
            <w:r>
              <w:rPr>
                <w:sz w:val="18"/>
                <w:szCs w:val="18"/>
              </w:rPr>
              <w:t>给（补）水来源</w:t>
            </w:r>
          </w:p>
        </w:tc>
        <w:tc>
          <w:tcPr>
            <w:tcW w:w="657" w:type="pct"/>
            <w:vAlign w:val="center"/>
          </w:tcPr>
          <w:p>
            <w:pPr>
              <w:widowControl/>
              <w:spacing w:line="240" w:lineRule="auto"/>
              <w:ind w:firstLine="0" w:firstLineChars="0"/>
              <w:jc w:val="center"/>
              <w:rPr>
                <w:sz w:val="18"/>
                <w:szCs w:val="18"/>
              </w:rPr>
            </w:pPr>
            <w:r>
              <w:rPr>
                <w:sz w:val="18"/>
                <w:szCs w:val="18"/>
              </w:rPr>
              <w:t>用水单元</w:t>
            </w:r>
          </w:p>
        </w:tc>
        <w:tc>
          <w:tcPr>
            <w:tcW w:w="770" w:type="pct"/>
            <w:vAlign w:val="center"/>
          </w:tcPr>
          <w:p>
            <w:pPr>
              <w:widowControl/>
              <w:spacing w:line="240" w:lineRule="auto"/>
              <w:ind w:firstLine="0" w:firstLineChars="0"/>
              <w:jc w:val="center"/>
              <w:rPr>
                <w:sz w:val="18"/>
                <w:szCs w:val="18"/>
              </w:rPr>
            </w:pPr>
            <w:r>
              <w:rPr>
                <w:sz w:val="18"/>
                <w:szCs w:val="18"/>
              </w:rPr>
              <w:t>用水量m</w:t>
            </w:r>
            <w:r>
              <w:rPr>
                <w:sz w:val="18"/>
                <w:szCs w:val="18"/>
                <w:vertAlign w:val="superscript"/>
              </w:rPr>
              <w:t>3</w:t>
            </w:r>
            <w:r>
              <w:rPr>
                <w:sz w:val="18"/>
                <w:szCs w:val="18"/>
              </w:rPr>
              <w:t>/a</w:t>
            </w:r>
          </w:p>
        </w:tc>
        <w:tc>
          <w:tcPr>
            <w:tcW w:w="692" w:type="pct"/>
            <w:vAlign w:val="center"/>
          </w:tcPr>
          <w:p>
            <w:pPr>
              <w:widowControl/>
              <w:spacing w:line="240" w:lineRule="auto"/>
              <w:ind w:firstLine="0" w:firstLineChars="0"/>
              <w:jc w:val="center"/>
              <w:rPr>
                <w:sz w:val="18"/>
                <w:szCs w:val="18"/>
              </w:rPr>
            </w:pPr>
            <w:r>
              <w:rPr>
                <w:sz w:val="18"/>
                <w:szCs w:val="18"/>
              </w:rPr>
              <w:t>损耗量m</w:t>
            </w:r>
            <w:r>
              <w:rPr>
                <w:sz w:val="18"/>
                <w:szCs w:val="18"/>
                <w:vertAlign w:val="superscript"/>
              </w:rPr>
              <w:t>3</w:t>
            </w:r>
            <w:r>
              <w:rPr>
                <w:sz w:val="18"/>
                <w:szCs w:val="18"/>
              </w:rPr>
              <w:t>/a</w:t>
            </w:r>
          </w:p>
        </w:tc>
        <w:tc>
          <w:tcPr>
            <w:tcW w:w="597" w:type="pct"/>
            <w:vAlign w:val="center"/>
          </w:tcPr>
          <w:p>
            <w:pPr>
              <w:widowControl/>
              <w:spacing w:line="240" w:lineRule="auto"/>
              <w:ind w:firstLine="0" w:firstLineChars="0"/>
              <w:jc w:val="center"/>
              <w:rPr>
                <w:sz w:val="18"/>
                <w:szCs w:val="18"/>
              </w:rPr>
            </w:pPr>
            <w:r>
              <w:rPr>
                <w:sz w:val="18"/>
                <w:szCs w:val="18"/>
              </w:rPr>
              <w:t>排水量m</w:t>
            </w:r>
            <w:r>
              <w:rPr>
                <w:sz w:val="18"/>
                <w:szCs w:val="18"/>
                <w:vertAlign w:val="superscript"/>
              </w:rPr>
              <w:t>3</w:t>
            </w:r>
            <w:r>
              <w:rPr>
                <w:sz w:val="18"/>
                <w:szCs w:val="18"/>
              </w:rPr>
              <w:t>/a</w:t>
            </w:r>
          </w:p>
        </w:tc>
        <w:tc>
          <w:tcPr>
            <w:tcW w:w="1395" w:type="pct"/>
            <w:vAlign w:val="center"/>
          </w:tcPr>
          <w:p>
            <w:pPr>
              <w:widowControl/>
              <w:spacing w:line="240" w:lineRule="auto"/>
              <w:ind w:firstLine="0" w:firstLineChars="0"/>
              <w:jc w:val="center"/>
              <w:rPr>
                <w:sz w:val="18"/>
                <w:szCs w:val="18"/>
              </w:rPr>
            </w:pPr>
            <w:r>
              <w:rPr>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6" w:type="pct"/>
            <w:vAlign w:val="center"/>
          </w:tcPr>
          <w:p>
            <w:pPr>
              <w:widowControl/>
              <w:spacing w:line="240" w:lineRule="auto"/>
              <w:ind w:firstLine="0" w:firstLineChars="0"/>
              <w:jc w:val="center"/>
              <w:rPr>
                <w:sz w:val="18"/>
                <w:szCs w:val="18"/>
              </w:rPr>
            </w:pPr>
            <w:r>
              <w:rPr>
                <w:sz w:val="18"/>
                <w:szCs w:val="18"/>
              </w:rPr>
              <w:t>自来水</w:t>
            </w:r>
          </w:p>
        </w:tc>
        <w:tc>
          <w:tcPr>
            <w:tcW w:w="657" w:type="pct"/>
            <w:vAlign w:val="center"/>
          </w:tcPr>
          <w:p>
            <w:pPr>
              <w:widowControl/>
              <w:spacing w:line="240" w:lineRule="auto"/>
              <w:ind w:firstLine="0" w:firstLineChars="0"/>
              <w:jc w:val="center"/>
              <w:rPr>
                <w:sz w:val="18"/>
                <w:szCs w:val="18"/>
              </w:rPr>
            </w:pPr>
            <w:r>
              <w:rPr>
                <w:sz w:val="18"/>
                <w:szCs w:val="18"/>
              </w:rPr>
              <w:t>生活用水</w:t>
            </w:r>
          </w:p>
        </w:tc>
        <w:tc>
          <w:tcPr>
            <w:tcW w:w="770" w:type="pct"/>
            <w:vAlign w:val="center"/>
          </w:tcPr>
          <w:p>
            <w:pPr>
              <w:widowControl/>
              <w:spacing w:line="240" w:lineRule="auto"/>
              <w:ind w:firstLine="0" w:firstLineChars="0"/>
              <w:jc w:val="center"/>
              <w:rPr>
                <w:sz w:val="18"/>
                <w:szCs w:val="18"/>
              </w:rPr>
            </w:pPr>
            <w:r>
              <w:rPr>
                <w:rFonts w:hint="eastAsia"/>
                <w:sz w:val="18"/>
                <w:szCs w:val="18"/>
              </w:rPr>
              <w:t>540</w:t>
            </w:r>
          </w:p>
        </w:tc>
        <w:tc>
          <w:tcPr>
            <w:tcW w:w="692" w:type="pct"/>
            <w:vAlign w:val="center"/>
          </w:tcPr>
          <w:p>
            <w:pPr>
              <w:widowControl/>
              <w:spacing w:line="240" w:lineRule="auto"/>
              <w:ind w:firstLine="0" w:firstLineChars="0"/>
              <w:jc w:val="center"/>
              <w:rPr>
                <w:sz w:val="18"/>
                <w:szCs w:val="18"/>
              </w:rPr>
            </w:pPr>
            <w:r>
              <w:rPr>
                <w:rFonts w:hint="eastAsia"/>
                <w:sz w:val="18"/>
                <w:szCs w:val="18"/>
              </w:rPr>
              <w:t>108</w:t>
            </w:r>
          </w:p>
        </w:tc>
        <w:tc>
          <w:tcPr>
            <w:tcW w:w="597" w:type="pct"/>
            <w:vAlign w:val="center"/>
          </w:tcPr>
          <w:p>
            <w:pPr>
              <w:widowControl/>
              <w:spacing w:line="240" w:lineRule="auto"/>
              <w:ind w:firstLine="0" w:firstLineChars="0"/>
              <w:jc w:val="center"/>
              <w:rPr>
                <w:sz w:val="18"/>
                <w:szCs w:val="18"/>
              </w:rPr>
            </w:pPr>
            <w:r>
              <w:rPr>
                <w:rFonts w:hint="eastAsia"/>
                <w:sz w:val="18"/>
                <w:szCs w:val="18"/>
              </w:rPr>
              <w:t>432</w:t>
            </w:r>
          </w:p>
        </w:tc>
        <w:tc>
          <w:tcPr>
            <w:tcW w:w="1395" w:type="pct"/>
            <w:vAlign w:val="center"/>
          </w:tcPr>
          <w:p>
            <w:pPr>
              <w:widowControl/>
              <w:spacing w:line="240" w:lineRule="auto"/>
              <w:ind w:firstLine="0" w:firstLineChars="0"/>
              <w:jc w:val="center"/>
              <w:rPr>
                <w:sz w:val="18"/>
                <w:szCs w:val="18"/>
              </w:rPr>
            </w:pPr>
            <w:r>
              <w:rPr>
                <w:rFonts w:hint="eastAsia"/>
                <w:sz w:val="18"/>
                <w:szCs w:val="18"/>
              </w:rPr>
              <w:t>由厂区生活污水处理站处理，达到</w:t>
            </w:r>
            <w:r>
              <w:rPr>
                <w:rFonts w:hint="eastAsia"/>
                <w:sz w:val="18"/>
                <w:szCs w:val="18"/>
                <w:highlight w:val="none"/>
              </w:rPr>
              <w:t>《城市污水再生利用 绿地灌溉水质》(</w:t>
            </w:r>
            <w:r>
              <w:rPr>
                <w:rFonts w:hint="eastAsia"/>
                <w:sz w:val="18"/>
                <w:szCs w:val="18"/>
                <w:highlight w:val="none"/>
                <w:lang w:eastAsia="zh-CN"/>
              </w:rPr>
              <w:t>GB</w:t>
            </w:r>
            <w:r>
              <w:rPr>
                <w:rFonts w:hint="eastAsia"/>
                <w:sz w:val="18"/>
                <w:szCs w:val="18"/>
                <w:highlight w:val="none"/>
              </w:rPr>
              <w:t>/T25499-2010)标准后回用于厂区绿化及路面喷洒</w:t>
            </w:r>
            <w:r>
              <w:rPr>
                <w:rFonts w:hint="eastAsia"/>
                <w:sz w:val="18"/>
                <w:szCs w:val="18"/>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86" w:type="pct"/>
            <w:vAlign w:val="center"/>
          </w:tcPr>
          <w:p>
            <w:pPr>
              <w:widowControl/>
              <w:spacing w:line="240" w:lineRule="auto"/>
              <w:ind w:firstLine="0" w:firstLineChars="0"/>
              <w:jc w:val="center"/>
              <w:rPr>
                <w:sz w:val="18"/>
                <w:szCs w:val="18"/>
              </w:rPr>
            </w:pPr>
            <w:r>
              <w:rPr>
                <w:sz w:val="18"/>
                <w:szCs w:val="18"/>
              </w:rPr>
              <w:t>自来水</w:t>
            </w:r>
          </w:p>
        </w:tc>
        <w:tc>
          <w:tcPr>
            <w:tcW w:w="657" w:type="pct"/>
            <w:vAlign w:val="center"/>
          </w:tcPr>
          <w:p>
            <w:pPr>
              <w:widowControl/>
              <w:spacing w:line="240" w:lineRule="auto"/>
              <w:ind w:firstLine="0" w:firstLineChars="0"/>
              <w:jc w:val="center"/>
              <w:rPr>
                <w:sz w:val="18"/>
                <w:szCs w:val="18"/>
              </w:rPr>
            </w:pPr>
            <w:r>
              <w:rPr>
                <w:sz w:val="18"/>
                <w:szCs w:val="18"/>
              </w:rPr>
              <w:t>调漆用水</w:t>
            </w:r>
          </w:p>
        </w:tc>
        <w:tc>
          <w:tcPr>
            <w:tcW w:w="770" w:type="pct"/>
            <w:vAlign w:val="center"/>
          </w:tcPr>
          <w:p>
            <w:pPr>
              <w:widowControl/>
              <w:spacing w:line="240" w:lineRule="auto"/>
              <w:ind w:firstLine="0" w:firstLineChars="0"/>
              <w:jc w:val="center"/>
              <w:rPr>
                <w:sz w:val="18"/>
                <w:szCs w:val="18"/>
              </w:rPr>
            </w:pPr>
            <w:r>
              <w:rPr>
                <w:rFonts w:hint="eastAsia"/>
                <w:sz w:val="18"/>
                <w:szCs w:val="18"/>
              </w:rPr>
              <w:t>1.5</w:t>
            </w:r>
          </w:p>
        </w:tc>
        <w:tc>
          <w:tcPr>
            <w:tcW w:w="692" w:type="pct"/>
            <w:vAlign w:val="center"/>
          </w:tcPr>
          <w:p>
            <w:pPr>
              <w:widowControl/>
              <w:spacing w:line="240" w:lineRule="auto"/>
              <w:ind w:firstLine="0" w:firstLineChars="0"/>
              <w:jc w:val="center"/>
              <w:rPr>
                <w:sz w:val="18"/>
                <w:szCs w:val="18"/>
              </w:rPr>
            </w:pPr>
            <w:r>
              <w:rPr>
                <w:rFonts w:hint="eastAsia"/>
                <w:sz w:val="18"/>
                <w:szCs w:val="18"/>
              </w:rPr>
              <w:t>1.5</w:t>
            </w:r>
          </w:p>
        </w:tc>
        <w:tc>
          <w:tcPr>
            <w:tcW w:w="597" w:type="pct"/>
            <w:vAlign w:val="center"/>
          </w:tcPr>
          <w:p>
            <w:pPr>
              <w:widowControl/>
              <w:spacing w:line="240" w:lineRule="auto"/>
              <w:ind w:firstLine="0" w:firstLineChars="0"/>
              <w:jc w:val="center"/>
              <w:rPr>
                <w:sz w:val="18"/>
                <w:szCs w:val="18"/>
              </w:rPr>
            </w:pPr>
            <w:r>
              <w:rPr>
                <w:rFonts w:hint="eastAsia"/>
                <w:sz w:val="18"/>
                <w:szCs w:val="18"/>
              </w:rPr>
              <w:t>-</w:t>
            </w:r>
          </w:p>
        </w:tc>
        <w:tc>
          <w:tcPr>
            <w:tcW w:w="1395" w:type="pct"/>
            <w:vAlign w:val="center"/>
          </w:tcPr>
          <w:p>
            <w:pPr>
              <w:widowControl/>
              <w:spacing w:line="240" w:lineRule="auto"/>
              <w:ind w:firstLine="0" w:firstLineChars="0"/>
              <w:jc w:val="center"/>
              <w:rPr>
                <w:sz w:val="18"/>
                <w:szCs w:val="18"/>
              </w:rPr>
            </w:pPr>
          </w:p>
        </w:tc>
      </w:tr>
    </w:tbl>
    <w:p>
      <w:pPr>
        <w:ind w:firstLine="482"/>
        <w:rPr>
          <w:b/>
          <w:bCs/>
        </w:rPr>
      </w:pPr>
      <w:r>
        <w:rPr>
          <w:b/>
          <w:bCs/>
        </w:rPr>
        <w:t>3、水平衡图</w:t>
      </w:r>
    </w:p>
    <w:p>
      <w:pPr>
        <w:ind w:firstLine="480"/>
      </w:pPr>
      <w:r>
        <w:t>项目水平衡见图3.4-2。</w:t>
      </w:r>
    </w:p>
    <w:p>
      <w:pPr>
        <w:ind w:firstLine="0" w:firstLineChars="0"/>
        <w:rPr>
          <w:b/>
        </w:rPr>
      </w:pPr>
      <w:r>
        <w:rPr>
          <w:b/>
        </w:rPr>
        <w:drawing>
          <wp:inline distT="0" distB="0" distL="114300" distR="114300">
            <wp:extent cx="5621655" cy="2070735"/>
            <wp:effectExtent l="0" t="0" r="17145" b="5715"/>
            <wp:docPr id="13" name="图片 152"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2" descr="水平衡图"/>
                    <pic:cNvPicPr>
                      <a:picLocks noChangeAspect="1"/>
                    </pic:cNvPicPr>
                  </pic:nvPicPr>
                  <pic:blipFill>
                    <a:blip r:embed="rId20"/>
                    <a:srcRect r="5869" b="17172"/>
                    <a:stretch>
                      <a:fillRect/>
                    </a:stretch>
                  </pic:blipFill>
                  <pic:spPr>
                    <a:xfrm>
                      <a:off x="0" y="0"/>
                      <a:ext cx="5621655" cy="2070735"/>
                    </a:xfrm>
                    <a:prstGeom prst="rect">
                      <a:avLst/>
                    </a:prstGeom>
                    <a:noFill/>
                    <a:ln>
                      <a:noFill/>
                    </a:ln>
                  </pic:spPr>
                </pic:pic>
              </a:graphicData>
            </a:graphic>
          </wp:inline>
        </w:drawing>
      </w:r>
    </w:p>
    <w:p>
      <w:pPr>
        <w:pStyle w:val="48"/>
      </w:pPr>
      <w:bookmarkStart w:id="364" w:name="_Toc12571"/>
      <w:bookmarkStart w:id="365" w:name="_Toc1977"/>
      <w:bookmarkStart w:id="366" w:name="_Toc22160"/>
      <w:bookmarkStart w:id="367" w:name="_Toc13801"/>
      <w:bookmarkStart w:id="368" w:name="_Toc19871"/>
      <w:bookmarkStart w:id="369" w:name="_Toc30820"/>
      <w:r>
        <w:t>图3.4-2 项目水平衡图  单位：m</w:t>
      </w:r>
      <w:r>
        <w:rPr>
          <w:vertAlign w:val="superscript"/>
        </w:rPr>
        <w:t>3</w:t>
      </w:r>
      <w:r>
        <w:t>/a</w:t>
      </w:r>
    </w:p>
    <w:bookmarkEnd w:id="363"/>
    <w:bookmarkEnd w:id="364"/>
    <w:bookmarkEnd w:id="365"/>
    <w:bookmarkEnd w:id="366"/>
    <w:bookmarkEnd w:id="367"/>
    <w:bookmarkEnd w:id="368"/>
    <w:bookmarkEnd w:id="369"/>
    <w:p>
      <w:pPr>
        <w:pStyle w:val="4"/>
      </w:pPr>
      <w:bookmarkStart w:id="370" w:name="_Toc27095"/>
      <w:bookmarkStart w:id="371" w:name="_Toc5794"/>
      <w:bookmarkStart w:id="372" w:name="_Toc508787705"/>
      <w:bookmarkStart w:id="373" w:name="_Toc2594"/>
      <w:bookmarkStart w:id="374" w:name="_Toc11466"/>
      <w:bookmarkStart w:id="375" w:name="_Toc18614"/>
      <w:bookmarkStart w:id="376" w:name="_Toc24914"/>
      <w:bookmarkStart w:id="377" w:name="_Toc11185"/>
      <w:bookmarkStart w:id="378" w:name="_Toc27493"/>
      <w:bookmarkStart w:id="379" w:name="_Toc29879"/>
      <w:bookmarkStart w:id="380" w:name="_Toc14503_WPSOffice_Level2"/>
      <w:bookmarkStart w:id="381" w:name="_Toc18505"/>
      <w:bookmarkStart w:id="382" w:name="_Toc768"/>
      <w:bookmarkStart w:id="383" w:name="_Toc20092"/>
      <w:bookmarkStart w:id="384" w:name="_Toc14642"/>
      <w:bookmarkStart w:id="385" w:name="_Toc4750"/>
      <w:bookmarkStart w:id="386" w:name="_Toc28513_WPSOffice_Level2"/>
      <w:bookmarkStart w:id="387" w:name="_Toc23926"/>
      <w:bookmarkStart w:id="388" w:name="_Toc1640_WPSOffice_Level2"/>
      <w:bookmarkStart w:id="389" w:name="_Toc18548"/>
      <w:bookmarkStart w:id="390" w:name="_Toc31923"/>
      <w:bookmarkStart w:id="391" w:name="_Toc15290"/>
      <w:bookmarkStart w:id="392" w:name="_Toc6989"/>
      <w:bookmarkStart w:id="393" w:name="_Toc32313_WPSOffice_Level2"/>
      <w:bookmarkStart w:id="394" w:name="_Toc26879"/>
      <w:bookmarkStart w:id="395" w:name="_Toc5333_WPSOffice_Level2"/>
      <w:r>
        <w:t>3.5</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生产工艺</w:t>
      </w:r>
      <w:bookmarkEnd w:id="386"/>
      <w:bookmarkEnd w:id="387"/>
      <w:bookmarkEnd w:id="388"/>
      <w:bookmarkEnd w:id="389"/>
      <w:bookmarkEnd w:id="390"/>
      <w:bookmarkEnd w:id="391"/>
      <w:bookmarkEnd w:id="392"/>
      <w:bookmarkEnd w:id="393"/>
      <w:bookmarkEnd w:id="394"/>
      <w:bookmarkEnd w:id="395"/>
    </w:p>
    <w:p>
      <w:pPr>
        <w:ind w:firstLine="480"/>
      </w:pPr>
      <w:bookmarkStart w:id="396" w:name="_Hlk494107981"/>
      <w:bookmarkStart w:id="397" w:name="_Toc32290_WPSOffice_Level3"/>
      <w:r>
        <w:rPr>
          <w:rFonts w:hint="eastAsia"/>
        </w:rPr>
        <w:t>项目</w:t>
      </w:r>
      <w:r>
        <w:t>产品为</w:t>
      </w:r>
      <w:r>
        <w:rPr>
          <w:rFonts w:hint="eastAsia"/>
        </w:rPr>
        <w:t>智能木业码垛机械设备</w:t>
      </w:r>
      <w:r>
        <w:t>，主要通过对</w:t>
      </w:r>
      <w:r>
        <w:rPr>
          <w:rFonts w:hint="eastAsia"/>
        </w:rPr>
        <w:t>钢板、钢管等材料切割、焊接、打磨、喷涂、组织得到产品</w:t>
      </w:r>
      <w:r>
        <w:t>，工艺流程如下：</w:t>
      </w:r>
    </w:p>
    <w:p>
      <w:pPr>
        <w:adjustRightInd w:val="0"/>
        <w:snapToGrid w:val="0"/>
        <w:ind w:firstLine="480"/>
      </w:pPr>
      <w:r>
        <w:rPr>
          <w:rFonts w:eastAsia="黑体"/>
          <w:bCs/>
        </w:rPr>
        <w:t>①下料、机加工：</w:t>
      </w:r>
      <w:r>
        <w:t>在车间内机加工区完成对钢板等部件的下料、锯、车、钻孔等工序。</w:t>
      </w:r>
    </w:p>
    <w:p>
      <w:pPr>
        <w:adjustRightInd w:val="0"/>
        <w:snapToGrid w:val="0"/>
        <w:ind w:firstLine="480"/>
        <w:rPr>
          <w:b/>
          <w:szCs w:val="21"/>
        </w:rPr>
      </w:pPr>
      <w:r>
        <w:t>产污环节：下料切割等过程会产生切割废气（G1）以及废钢材下脚料（S1）、使用锯床等设备会产生废切削液（S2）、机加工设备日常保养会产生废机油及机油桶（S3）、机加工设备运转产生噪声（N）。</w:t>
      </w:r>
    </w:p>
    <w:p>
      <w:pPr>
        <w:adjustRightInd w:val="0"/>
        <w:snapToGrid w:val="0"/>
        <w:ind w:firstLine="480"/>
      </w:pPr>
      <w:r>
        <w:rPr>
          <w:rFonts w:eastAsia="黑体"/>
          <w:bCs/>
        </w:rPr>
        <w:t>②焊接：</w:t>
      </w:r>
      <w:r>
        <w:t>本工序使用电焊机将部分零部件进行焊接，电焊机焊接方式为二保焊。二氧化碳气体保护电弧焊（简称CO</w:t>
      </w:r>
      <w:r>
        <w:rPr>
          <w:vertAlign w:val="subscript"/>
        </w:rPr>
        <w:t>2</w:t>
      </w:r>
      <w:r>
        <w:t>焊）的保护气体是二氧化碳，由于二氧化碳气体的热物理性能的特殊影响，使用常规焊接电源时，焊丝端头熔化金属不可能形成平衡的轴向自由过渡，通常需要采用短路和熔滴缩颈爆断，使飞溅降低到最小的程度。</w:t>
      </w:r>
    </w:p>
    <w:p>
      <w:pPr>
        <w:adjustRightInd w:val="0"/>
        <w:snapToGrid w:val="0"/>
        <w:ind w:firstLine="480"/>
      </w:pPr>
      <w:r>
        <w:t>产污环节：焊接过程产生焊接烟尘（G2）、废焊渣及焊头（S4）和设备运转噪声（N）。</w:t>
      </w:r>
    </w:p>
    <w:p>
      <w:pPr>
        <w:adjustRightInd w:val="0"/>
        <w:snapToGrid w:val="0"/>
        <w:ind w:firstLine="480"/>
      </w:pPr>
      <w:r>
        <w:rPr>
          <w:rFonts w:eastAsia="黑体"/>
          <w:bCs/>
        </w:rPr>
        <w:t>③打磨：</w:t>
      </w:r>
      <w:r>
        <w:t>使用打磨机对焊接后的工件进行打磨处理。打磨后的工件根据订单需求进行喷漆或喷塑，项目年产1000套设备，约600套需要进行喷粉、400套进行喷漆。</w:t>
      </w:r>
    </w:p>
    <w:p>
      <w:pPr>
        <w:adjustRightInd w:val="0"/>
        <w:snapToGrid w:val="0"/>
        <w:ind w:firstLine="480"/>
      </w:pPr>
      <w:r>
        <w:t>产污环节：打磨过程产生打磨粉尘（G3）和设备运转噪声（N）。</w:t>
      </w:r>
    </w:p>
    <w:p>
      <w:pPr>
        <w:snapToGrid w:val="0"/>
        <w:ind w:firstLine="480"/>
      </w:pPr>
      <w:r>
        <w:rPr>
          <w:rFonts w:eastAsia="黑体"/>
          <w:bCs/>
        </w:rPr>
        <w:t>④喷漆：</w:t>
      </w:r>
      <w:r>
        <w:t>本项目采用人工喷涂法（上漆率一般为60%～80%，本项目取</w:t>
      </w:r>
      <w:r>
        <w:rPr>
          <w:rFonts w:hint="eastAsia"/>
        </w:rPr>
        <w:t>6</w:t>
      </w:r>
      <w:r>
        <w:t>0%），是以喷枪为工具，在常温状态下，利用压缩空气（0.35MPa～0.6MPa）的气流将涂料吹散、雾化并喷在被涂饰件表面，形成连续完整涂层的一种方法。喷漆的目的是改善被涂物表面的平整度和光滑度，以提高涂膜的丰满度和鲜艳性。工件进入喷涂系统，采用喷底漆一烘干一喷面漆—烘干的涂装生产工艺，其中底漆和面漆的喷漆厚度分别为70μm、50μm。喷漆在喷漆房内进行，喷漆房在喷漆状态下，</w:t>
      </w:r>
      <w:r>
        <w:rPr>
          <w:rFonts w:hint="eastAsia"/>
        </w:rPr>
        <w:t>对喷漆房开启密闭负压收集，喷漆房与烘干房紧邻布置，喷好后的工件可用推车直接推进烘干房内进行烘干</w:t>
      </w:r>
      <w:r>
        <w:t>。</w:t>
      </w:r>
    </w:p>
    <w:p>
      <w:pPr>
        <w:snapToGrid w:val="0"/>
        <w:ind w:firstLine="480"/>
      </w:pPr>
      <w:r>
        <w:t>产污环节：此工序主要产生喷漆废气（G4）、</w:t>
      </w:r>
      <w:r>
        <w:rPr>
          <w:rFonts w:hint="eastAsia"/>
        </w:rPr>
        <w:t>水性</w:t>
      </w:r>
      <w:r>
        <w:t>漆渣（S5）、废漆桶（S6）、设备噪声（N）。</w:t>
      </w:r>
    </w:p>
    <w:p>
      <w:pPr>
        <w:snapToGrid w:val="0"/>
        <w:ind w:firstLine="480"/>
      </w:pPr>
      <w:r>
        <w:rPr>
          <w:rFonts w:eastAsia="黑体"/>
          <w:bCs/>
        </w:rPr>
        <w:t>⑤喷粉：</w:t>
      </w:r>
      <w:r>
        <w:t>本工序采用高压静电喷粉工艺，通过静电使涂料粒子附着在铁艺品表面，主要原理为在喷枪头部金属喷杯和极针接上高压负极，被喷粉工件接地形成正极，使喷枪和工件之间形成一个较强的静电电场。当作为运载气体的压缩空气将粉末涂料从供粉筒经粉管送到喷枪的喷杯和极针时，由于它接上高压负极产生的电晕放电，在其附近产生了密集的负电荷，使粉末带上负电荷，进入了电场强度很高的静电场，在静电力和运载气体推动力的双重作用下，粉末飞向接地工件表面。当粉末附着到一定厚度时，则会发生“同性相斥”的作用，不再吸附粉末，从而使各部分的粉层厚度均匀，上粉率可达75%，余下25%的塑粉粉末</w:t>
      </w:r>
      <w:r>
        <w:rPr>
          <w:rFonts w:hint="eastAsia"/>
        </w:rPr>
        <w:t>在喷粉室内密闭</w:t>
      </w:r>
      <w:r>
        <w:t>收集</w:t>
      </w:r>
      <w:r>
        <w:rPr>
          <w:rFonts w:hint="eastAsia"/>
        </w:rPr>
        <w:t>，喷粉室采用上送风，下吸风，粉末收集进入旋风滤芯回收系统中，回收效率高达90%，再</w:t>
      </w:r>
      <w:r>
        <w:t>经布袋除尘器处理后达标排放。</w:t>
      </w:r>
    </w:p>
    <w:p>
      <w:pPr>
        <w:snapToGrid w:val="0"/>
        <w:ind w:firstLine="480"/>
      </w:pPr>
      <w:r>
        <w:t>产污环节：此工序主要产生喷粉废气（G6）、塑粉废包装物（S7）、设备噪声（N）。</w:t>
      </w:r>
    </w:p>
    <w:p>
      <w:pPr>
        <w:autoSpaceDE w:val="0"/>
        <w:autoSpaceDN w:val="0"/>
        <w:adjustRightInd w:val="0"/>
        <w:ind w:firstLine="480"/>
        <w:jc w:val="left"/>
      </w:pPr>
      <w:r>
        <w:rPr>
          <w:rFonts w:eastAsia="黑体"/>
          <w:bCs/>
        </w:rPr>
        <w:t>⑥固化烘干：</w:t>
      </w:r>
      <w:r>
        <w:t>喷漆与喷粉固化烘干温度不同，故需交替在同一个固化烘干房内完成，</w:t>
      </w:r>
      <w:r>
        <w:rPr>
          <w:rFonts w:hint="eastAsia"/>
        </w:rPr>
        <w:t>喷漆后的工件</w:t>
      </w:r>
      <w:r>
        <w:t>烘干房密闭负压，采用电加热进行烘干固化。当喷漆工件进行烘干时，将烘干温度控制在120-140℃，当喷粉工件用于固化时，将固化温度控制在200℃-220℃。</w:t>
      </w:r>
    </w:p>
    <w:p>
      <w:pPr>
        <w:autoSpaceDE w:val="0"/>
        <w:autoSpaceDN w:val="0"/>
        <w:adjustRightInd w:val="0"/>
        <w:ind w:firstLine="480"/>
        <w:jc w:val="left"/>
      </w:pPr>
      <w:r>
        <w:t>产污环节：此工序主要产生底面漆烘干废气（G5）、喷粉固化废气（G7）、设备噪声（N）。</w:t>
      </w:r>
    </w:p>
    <w:p>
      <w:pPr>
        <w:adjustRightInd w:val="0"/>
        <w:snapToGrid w:val="0"/>
        <w:ind w:firstLine="480"/>
      </w:pPr>
      <w:r>
        <w:t>此外本项目正式运行后员工日常生活产生生活废水（W1）、生活垃圾（S0）；废气处理工序产生机加工除尘器收尘（S8）、喷粉除尘器收尘（S9）、废过滤纸（S10）、废活性炭（S11）、废催化剂（S12）。</w:t>
      </w:r>
    </w:p>
    <w:p>
      <w:pPr>
        <w:ind w:firstLine="480"/>
        <w:jc w:val="center"/>
        <w:rPr>
          <w:b/>
          <w:highlight w:val="red"/>
        </w:rPr>
      </w:pPr>
      <w:r>
        <w:object>
          <v:shape id="_x0000_i1025" o:spt="75" type="#_x0000_t75" style="height:416.1pt;width:360pt;" o:ole="t" filled="f" o:preferrelative="t" stroked="f" coordsize="21600,21600">
            <v:path/>
            <v:fill on="f" focussize="0,0"/>
            <v:stroke on="f"/>
            <v:imagedata r:id="rId22" o:title=""/>
            <o:lock v:ext="edit" aspectratio="f"/>
            <w10:wrap type="none"/>
            <w10:anchorlock/>
          </v:shape>
          <o:OLEObject Type="Embed" ProgID="Visio.Drawing.15" ShapeID="_x0000_i1025" DrawAspect="Content" ObjectID="_1468075725" r:id="rId21">
            <o:LockedField>false</o:LockedField>
          </o:OLEObject>
        </w:object>
      </w:r>
    </w:p>
    <w:p>
      <w:pPr>
        <w:pStyle w:val="48"/>
        <w:rPr>
          <w:highlight w:val="red"/>
        </w:rPr>
      </w:pPr>
      <w:r>
        <w:rPr>
          <w:kern w:val="0"/>
          <w:szCs w:val="21"/>
        </w:rPr>
        <w:t>图3.5</w:t>
      </w:r>
      <w:r>
        <w:rPr>
          <w:rFonts w:hint="eastAsia"/>
          <w:kern w:val="0"/>
          <w:szCs w:val="21"/>
        </w:rPr>
        <w:t>-1</w:t>
      </w:r>
      <w:r>
        <w:rPr>
          <w:kern w:val="0"/>
          <w:szCs w:val="21"/>
        </w:rPr>
        <w:t xml:space="preserve">  项目生产工艺流程图</w:t>
      </w:r>
    </w:p>
    <w:bookmarkEnd w:id="396"/>
    <w:bookmarkEnd w:id="397"/>
    <w:p>
      <w:pPr>
        <w:pStyle w:val="4"/>
        <w:rPr>
          <w:lang w:val="zh-CN"/>
        </w:rPr>
      </w:pPr>
      <w:bookmarkStart w:id="398" w:name="_Toc12704"/>
      <w:bookmarkStart w:id="399" w:name="_Toc18956"/>
      <w:bookmarkStart w:id="400" w:name="_Toc24845"/>
      <w:bookmarkStart w:id="401" w:name="_Toc13911"/>
      <w:bookmarkStart w:id="402" w:name="_Toc1076_WPSOffice_Level2"/>
      <w:bookmarkStart w:id="403" w:name="_Toc22338"/>
      <w:bookmarkStart w:id="404" w:name="_Toc8310"/>
      <w:bookmarkStart w:id="405" w:name="_Toc25502"/>
      <w:bookmarkStart w:id="406" w:name="_Toc16092"/>
      <w:bookmarkStart w:id="407" w:name="_Toc3427"/>
      <w:bookmarkStart w:id="408" w:name="_Toc10288"/>
      <w:bookmarkStart w:id="409" w:name="_Toc32534"/>
      <w:bookmarkStart w:id="410" w:name="_Toc10977_WPSOffice_Level2"/>
      <w:bookmarkStart w:id="411" w:name="_Toc19931_WPSOffice_Level2"/>
      <w:bookmarkStart w:id="412" w:name="_Toc26629"/>
      <w:bookmarkStart w:id="413" w:name="_Toc4478"/>
      <w:bookmarkStart w:id="414" w:name="_Toc3159"/>
      <w:bookmarkStart w:id="415" w:name="_Toc5606"/>
      <w:bookmarkStart w:id="416" w:name="_Toc26045"/>
      <w:bookmarkStart w:id="417" w:name="_Toc26155"/>
      <w:bookmarkStart w:id="418" w:name="_Toc9298"/>
      <w:bookmarkStart w:id="419" w:name="_Toc23994_WPSOffice_Level2"/>
      <w:bookmarkStart w:id="420" w:name="_Toc15686"/>
      <w:bookmarkStart w:id="421" w:name="_Toc508787706"/>
      <w:bookmarkStart w:id="422" w:name="_Toc27653_WPSOffice_Level2"/>
      <w:bookmarkStart w:id="423" w:name="_Toc27067"/>
      <w:r>
        <w:t>3.</w:t>
      </w:r>
      <w:r>
        <w:rPr>
          <w:lang w:val="zh-CN"/>
        </w:rPr>
        <w:t>6 项目变动情况</w:t>
      </w:r>
      <w:bookmarkEnd w:id="398"/>
      <w:bookmarkEnd w:id="399"/>
    </w:p>
    <w:p>
      <w:pPr>
        <w:ind w:firstLine="480"/>
        <w:rPr>
          <w:kern w:val="0"/>
        </w:rPr>
      </w:pPr>
      <w:r>
        <w:rPr>
          <w:kern w:val="0"/>
          <w:lang w:val="zh-CN"/>
        </w:rPr>
        <w:t>项目变动一览表见表</w:t>
      </w:r>
      <w:r>
        <w:rPr>
          <w:kern w:val="0"/>
        </w:rPr>
        <w:t>3.6-1。</w:t>
      </w:r>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Pr>
        <w:pStyle w:val="48"/>
      </w:pPr>
      <w:bookmarkStart w:id="424" w:name="_Toc19805_WPSOffice_Level3"/>
      <w:r>
        <w:t>表3.6-1 项目变动一览表</w:t>
      </w:r>
      <w:bookmarkEnd w:id="424"/>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671"/>
        <w:gridCol w:w="2488"/>
        <w:gridCol w:w="2280"/>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vAlign w:val="center"/>
          </w:tcPr>
          <w:p>
            <w:pPr>
              <w:pStyle w:val="44"/>
              <w:rPr>
                <w:sz w:val="18"/>
                <w:szCs w:val="18"/>
              </w:rPr>
            </w:pPr>
            <w:r>
              <w:rPr>
                <w:sz w:val="18"/>
                <w:szCs w:val="18"/>
              </w:rPr>
              <w:t>项目</w:t>
            </w:r>
          </w:p>
        </w:tc>
        <w:tc>
          <w:tcPr>
            <w:tcW w:w="868" w:type="pct"/>
            <w:vAlign w:val="center"/>
          </w:tcPr>
          <w:p>
            <w:pPr>
              <w:pStyle w:val="44"/>
              <w:rPr>
                <w:sz w:val="18"/>
                <w:szCs w:val="18"/>
              </w:rPr>
            </w:pPr>
            <w:r>
              <w:rPr>
                <w:sz w:val="18"/>
                <w:szCs w:val="18"/>
              </w:rPr>
              <w:t>环评内容</w:t>
            </w:r>
          </w:p>
        </w:tc>
        <w:tc>
          <w:tcPr>
            <w:tcW w:w="1292" w:type="pct"/>
            <w:vAlign w:val="center"/>
          </w:tcPr>
          <w:p>
            <w:pPr>
              <w:pStyle w:val="44"/>
              <w:rPr>
                <w:sz w:val="18"/>
                <w:szCs w:val="18"/>
              </w:rPr>
            </w:pPr>
            <w:r>
              <w:rPr>
                <w:rFonts w:hint="eastAsia"/>
                <w:sz w:val="18"/>
                <w:szCs w:val="18"/>
              </w:rPr>
              <w:t>批复内容</w:t>
            </w:r>
          </w:p>
        </w:tc>
        <w:tc>
          <w:tcPr>
            <w:tcW w:w="1184" w:type="pct"/>
            <w:vAlign w:val="center"/>
          </w:tcPr>
          <w:p>
            <w:pPr>
              <w:pStyle w:val="44"/>
              <w:rPr>
                <w:sz w:val="18"/>
                <w:szCs w:val="18"/>
              </w:rPr>
            </w:pPr>
            <w:r>
              <w:rPr>
                <w:sz w:val="18"/>
                <w:szCs w:val="18"/>
              </w:rPr>
              <w:t>实际内容</w:t>
            </w:r>
          </w:p>
        </w:tc>
        <w:tc>
          <w:tcPr>
            <w:tcW w:w="1313" w:type="pct"/>
            <w:vAlign w:val="center"/>
          </w:tcPr>
          <w:p>
            <w:pPr>
              <w:pStyle w:val="44"/>
              <w:rPr>
                <w:sz w:val="18"/>
                <w:szCs w:val="18"/>
              </w:rPr>
            </w:pPr>
            <w:r>
              <w:rPr>
                <w:sz w:val="18"/>
                <w:szCs w:val="18"/>
              </w:rPr>
              <w:t>变动情况说明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pPr>
              <w:pStyle w:val="14"/>
              <w:autoSpaceDE/>
              <w:autoSpaceDN/>
              <w:adjustRightInd/>
              <w:snapToGrid/>
              <w:spacing w:line="240" w:lineRule="auto"/>
              <w:ind w:firstLine="0" w:firstLineChars="0"/>
              <w:jc w:val="center"/>
              <w:textAlignment w:val="auto"/>
              <w:rPr>
                <w:sz w:val="18"/>
                <w:szCs w:val="18"/>
              </w:rPr>
            </w:pPr>
            <w:r>
              <w:rPr>
                <w:sz w:val="18"/>
                <w:szCs w:val="18"/>
              </w:rPr>
              <w:t>污水处理</w:t>
            </w:r>
          </w:p>
        </w:tc>
        <w:tc>
          <w:tcPr>
            <w:tcW w:w="868" w:type="pct"/>
            <w:vAlign w:val="center"/>
          </w:tcPr>
          <w:p>
            <w:pPr>
              <w:pStyle w:val="22"/>
              <w:spacing w:line="240" w:lineRule="auto"/>
              <w:ind w:firstLine="0" w:firstLineChars="0"/>
              <w:jc w:val="center"/>
              <w:rPr>
                <w:rFonts w:ascii="Times New Roman" w:hAnsi="Times New Roman"/>
                <w:sz w:val="18"/>
                <w:szCs w:val="18"/>
              </w:rPr>
            </w:pPr>
            <w:r>
              <w:rPr>
                <w:rFonts w:ascii="Times New Roman" w:hAnsi="Times New Roman"/>
                <w:sz w:val="18"/>
                <w:szCs w:val="18"/>
              </w:rPr>
              <w:t>职工生活化粪池处理</w:t>
            </w:r>
            <w:r>
              <w:rPr>
                <w:rFonts w:hint="eastAsia" w:ascii="Times New Roman" w:hAnsi="Times New Roman"/>
                <w:sz w:val="18"/>
                <w:szCs w:val="18"/>
              </w:rPr>
              <w:t>环卫部门定期清运。</w:t>
            </w:r>
          </w:p>
        </w:tc>
        <w:tc>
          <w:tcPr>
            <w:tcW w:w="1292" w:type="pct"/>
            <w:vAlign w:val="center"/>
          </w:tcPr>
          <w:p>
            <w:pPr>
              <w:pStyle w:val="51"/>
              <w:rPr>
                <w:bCs w:val="0"/>
                <w:sz w:val="18"/>
                <w:szCs w:val="18"/>
              </w:rPr>
            </w:pPr>
            <w:r>
              <w:rPr>
                <w:rFonts w:hint="eastAsia"/>
                <w:bCs w:val="0"/>
                <w:sz w:val="18"/>
                <w:szCs w:val="18"/>
              </w:rPr>
              <w:t>项目废水为生活污水，厂区设置地埋式生活污水处理站 1座，处理工艺为厌氧--好氧一出水出水水质满足《城市污水再生利用 绿地灌溉水质》 (GB/T25499-2010)标准后后回用于厂区绿化，不外排。</w:t>
            </w:r>
          </w:p>
        </w:tc>
        <w:tc>
          <w:tcPr>
            <w:tcW w:w="1184" w:type="pct"/>
            <w:vAlign w:val="center"/>
          </w:tcPr>
          <w:p>
            <w:pPr>
              <w:tabs>
                <w:tab w:val="left" w:pos="567"/>
              </w:tabs>
              <w:spacing w:line="240" w:lineRule="auto"/>
              <w:ind w:firstLine="0" w:firstLineChars="0"/>
              <w:rPr>
                <w:sz w:val="18"/>
                <w:szCs w:val="18"/>
              </w:rPr>
            </w:pPr>
            <w:r>
              <w:rPr>
                <w:rFonts w:hint="eastAsia"/>
                <w:sz w:val="18"/>
                <w:szCs w:val="18"/>
              </w:rPr>
              <w:t>项目废水为生活污水，经化粪池后，进入厂区设置生活污水处理设施，处理工艺为厌氧--好氧--出水，出水水质满足《城市污水再生利用 绿地灌溉水质》 (GB/T25499-2010)标准后后回用于厂区绿化，不外排。</w:t>
            </w:r>
          </w:p>
        </w:tc>
        <w:tc>
          <w:tcPr>
            <w:tcW w:w="1313" w:type="pct"/>
            <w:vAlign w:val="center"/>
          </w:tcPr>
          <w:p>
            <w:pPr>
              <w:tabs>
                <w:tab w:val="left" w:pos="567"/>
              </w:tabs>
              <w:spacing w:line="240" w:lineRule="auto"/>
              <w:ind w:firstLine="0" w:firstLineChars="0"/>
              <w:jc w:val="center"/>
              <w:rPr>
                <w:sz w:val="18"/>
                <w:szCs w:val="18"/>
              </w:rPr>
            </w:pPr>
            <w:r>
              <w:rPr>
                <w:rFonts w:hint="eastAsia"/>
                <w:sz w:val="18"/>
                <w:szCs w:val="18"/>
              </w:rPr>
              <w:t>与环评批复一致，废水处理方式优于环评报告。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0" w:type="pct"/>
            <w:vAlign w:val="center"/>
          </w:tcPr>
          <w:p>
            <w:pPr>
              <w:pStyle w:val="44"/>
              <w:rPr>
                <w:bCs w:val="0"/>
                <w:sz w:val="18"/>
                <w:szCs w:val="18"/>
              </w:rPr>
            </w:pPr>
            <w:bookmarkStart w:id="425" w:name="_Toc25455"/>
            <w:bookmarkStart w:id="426" w:name="_Toc5136"/>
            <w:bookmarkStart w:id="427" w:name="_Toc30697"/>
            <w:bookmarkStart w:id="428" w:name="_Toc2108"/>
            <w:bookmarkStart w:id="429" w:name="_Toc14404"/>
            <w:bookmarkStart w:id="430" w:name="_Toc5505"/>
            <w:r>
              <w:rPr>
                <w:rFonts w:hint="eastAsia"/>
                <w:bCs w:val="0"/>
                <w:sz w:val="18"/>
                <w:szCs w:val="18"/>
              </w:rPr>
              <w:t>设备</w:t>
            </w:r>
          </w:p>
        </w:tc>
        <w:tc>
          <w:tcPr>
            <w:tcW w:w="868" w:type="pct"/>
            <w:vAlign w:val="center"/>
          </w:tcPr>
          <w:p>
            <w:pPr>
              <w:pStyle w:val="44"/>
              <w:rPr>
                <w:bCs w:val="0"/>
                <w:sz w:val="18"/>
                <w:szCs w:val="18"/>
              </w:rPr>
            </w:pPr>
            <w:r>
              <w:rPr>
                <w:bCs w:val="0"/>
                <w:sz w:val="18"/>
                <w:szCs w:val="18"/>
              </w:rPr>
              <w:t>等离子切割机</w:t>
            </w:r>
            <w:r>
              <w:rPr>
                <w:rFonts w:hint="eastAsia"/>
                <w:bCs w:val="0"/>
                <w:sz w:val="18"/>
                <w:szCs w:val="18"/>
              </w:rPr>
              <w:t>1台</w:t>
            </w:r>
            <w:r>
              <w:rPr>
                <w:bCs w:val="0"/>
                <w:sz w:val="18"/>
                <w:szCs w:val="18"/>
              </w:rPr>
              <w:t>数控车床</w:t>
            </w:r>
            <w:r>
              <w:rPr>
                <w:rFonts w:hint="eastAsia"/>
                <w:bCs w:val="0"/>
                <w:sz w:val="18"/>
                <w:szCs w:val="18"/>
              </w:rPr>
              <w:t>2台</w:t>
            </w:r>
          </w:p>
          <w:p>
            <w:pPr>
              <w:pStyle w:val="44"/>
              <w:rPr>
                <w:bCs w:val="0"/>
                <w:sz w:val="18"/>
                <w:szCs w:val="18"/>
              </w:rPr>
            </w:pPr>
            <w:r>
              <w:rPr>
                <w:bCs w:val="0"/>
                <w:sz w:val="18"/>
                <w:szCs w:val="18"/>
              </w:rPr>
              <w:t>攻丝机</w:t>
            </w:r>
            <w:r>
              <w:rPr>
                <w:rFonts w:hint="eastAsia"/>
                <w:bCs w:val="0"/>
                <w:sz w:val="18"/>
                <w:szCs w:val="18"/>
              </w:rPr>
              <w:t>2台</w:t>
            </w:r>
          </w:p>
        </w:tc>
        <w:tc>
          <w:tcPr>
            <w:tcW w:w="1292" w:type="pct"/>
            <w:vAlign w:val="center"/>
          </w:tcPr>
          <w:p>
            <w:pPr>
              <w:pStyle w:val="44"/>
              <w:rPr>
                <w:bCs w:val="0"/>
                <w:sz w:val="18"/>
                <w:szCs w:val="18"/>
              </w:rPr>
            </w:pPr>
            <w:r>
              <w:rPr>
                <w:rFonts w:hint="eastAsia"/>
                <w:bCs w:val="0"/>
                <w:sz w:val="18"/>
                <w:szCs w:val="18"/>
              </w:rPr>
              <w:t>-</w:t>
            </w:r>
          </w:p>
        </w:tc>
        <w:tc>
          <w:tcPr>
            <w:tcW w:w="1184" w:type="pct"/>
            <w:vAlign w:val="center"/>
          </w:tcPr>
          <w:p>
            <w:pPr>
              <w:pStyle w:val="44"/>
              <w:rPr>
                <w:bCs w:val="0"/>
                <w:sz w:val="18"/>
                <w:szCs w:val="18"/>
              </w:rPr>
            </w:pPr>
            <w:r>
              <w:rPr>
                <w:bCs w:val="0"/>
                <w:sz w:val="18"/>
                <w:szCs w:val="18"/>
              </w:rPr>
              <w:t>等离子切割机</w:t>
            </w:r>
            <w:r>
              <w:rPr>
                <w:rFonts w:hint="eastAsia"/>
                <w:bCs w:val="0"/>
                <w:sz w:val="18"/>
                <w:szCs w:val="18"/>
              </w:rPr>
              <w:t>3台</w:t>
            </w:r>
          </w:p>
          <w:p>
            <w:pPr>
              <w:pStyle w:val="44"/>
              <w:rPr>
                <w:bCs w:val="0"/>
                <w:sz w:val="18"/>
                <w:szCs w:val="18"/>
              </w:rPr>
            </w:pPr>
            <w:r>
              <w:rPr>
                <w:bCs w:val="0"/>
                <w:sz w:val="18"/>
                <w:szCs w:val="18"/>
              </w:rPr>
              <w:t>数控车床</w:t>
            </w:r>
            <w:r>
              <w:rPr>
                <w:rFonts w:hint="eastAsia"/>
                <w:bCs w:val="0"/>
                <w:sz w:val="18"/>
                <w:szCs w:val="18"/>
              </w:rPr>
              <w:t>1台</w:t>
            </w:r>
          </w:p>
          <w:p>
            <w:pPr>
              <w:pStyle w:val="44"/>
              <w:rPr>
                <w:bCs w:val="0"/>
                <w:sz w:val="18"/>
                <w:szCs w:val="18"/>
              </w:rPr>
            </w:pPr>
            <w:r>
              <w:rPr>
                <w:bCs w:val="0"/>
                <w:sz w:val="18"/>
                <w:szCs w:val="18"/>
              </w:rPr>
              <w:t>攻丝机</w:t>
            </w:r>
            <w:r>
              <w:rPr>
                <w:rFonts w:hint="eastAsia"/>
                <w:bCs w:val="0"/>
                <w:sz w:val="18"/>
                <w:szCs w:val="18"/>
              </w:rPr>
              <w:t>1台</w:t>
            </w:r>
          </w:p>
        </w:tc>
        <w:tc>
          <w:tcPr>
            <w:tcW w:w="1313" w:type="pct"/>
            <w:vAlign w:val="center"/>
          </w:tcPr>
          <w:p>
            <w:pPr>
              <w:pStyle w:val="44"/>
              <w:rPr>
                <w:bCs w:val="0"/>
                <w:sz w:val="18"/>
                <w:szCs w:val="18"/>
              </w:rPr>
            </w:pPr>
            <w:r>
              <w:rPr>
                <w:rFonts w:hint="eastAsia"/>
                <w:bCs w:val="0"/>
                <w:sz w:val="18"/>
                <w:szCs w:val="18"/>
              </w:rPr>
              <w:t>企业根据生产情况和设备效率，增加或建设相应生产设备，不增加产能</w:t>
            </w:r>
          </w:p>
        </w:tc>
      </w:tr>
    </w:tbl>
    <w:p>
      <w:pPr>
        <w:ind w:firstLine="480"/>
        <w:jc w:val="center"/>
        <w:rPr>
          <w:rFonts w:eastAsia="黑体"/>
          <w:szCs w:val="32"/>
        </w:rPr>
      </w:pPr>
      <w:r>
        <w:rPr>
          <w:rFonts w:eastAsia="黑体"/>
          <w:szCs w:val="32"/>
        </w:rPr>
        <w:t>表3.6-2 与污染影响类建设项目重大变动清单（试行）对照一览表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534"/>
        <w:gridCol w:w="3296"/>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pPr>
            <w:r>
              <w:t>项目</w:t>
            </w:r>
          </w:p>
        </w:tc>
        <w:tc>
          <w:tcPr>
            <w:tcW w:w="2354" w:type="pct"/>
            <w:vAlign w:val="center"/>
          </w:tcPr>
          <w:p>
            <w:pPr>
              <w:pStyle w:val="44"/>
            </w:pPr>
            <w:r>
              <w:t>文件内容</w:t>
            </w:r>
          </w:p>
        </w:tc>
        <w:tc>
          <w:tcPr>
            <w:tcW w:w="1711" w:type="pct"/>
            <w:vAlign w:val="center"/>
          </w:tcPr>
          <w:p>
            <w:pPr>
              <w:pStyle w:val="44"/>
            </w:pPr>
            <w:r>
              <w:t>实际内容</w:t>
            </w:r>
          </w:p>
        </w:tc>
        <w:tc>
          <w:tcPr>
            <w:tcW w:w="584" w:type="pct"/>
            <w:vAlign w:val="center"/>
          </w:tcPr>
          <w:p>
            <w:pPr>
              <w:pStyle w:val="44"/>
            </w:pPr>
            <w:r>
              <w:t>是否属于重大变化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pPr>
            <w:r>
              <w:rPr>
                <w:rFonts w:hint="eastAsia"/>
              </w:rPr>
              <w:t>性质</w:t>
            </w:r>
          </w:p>
        </w:tc>
        <w:tc>
          <w:tcPr>
            <w:tcW w:w="2354" w:type="pct"/>
            <w:vAlign w:val="center"/>
          </w:tcPr>
          <w:p>
            <w:pPr>
              <w:pStyle w:val="44"/>
              <w:jc w:val="left"/>
            </w:pPr>
            <w:r>
              <w:rPr>
                <w:rFonts w:hint="eastAsia"/>
              </w:rPr>
              <w:t>1.建设项目开发、使用功能发生变化的。</w:t>
            </w:r>
          </w:p>
        </w:tc>
        <w:tc>
          <w:tcPr>
            <w:tcW w:w="1711" w:type="pct"/>
            <w:vAlign w:val="center"/>
          </w:tcPr>
          <w:p>
            <w:pPr>
              <w:pStyle w:val="44"/>
            </w:pPr>
            <w:r>
              <w:rPr>
                <w:rFonts w:hint="eastAsia"/>
              </w:rPr>
              <w:t>与环评一致</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restart"/>
            <w:vAlign w:val="center"/>
          </w:tcPr>
          <w:p>
            <w:pPr>
              <w:pStyle w:val="44"/>
            </w:pPr>
            <w:r>
              <w:rPr>
                <w:rFonts w:hint="eastAsia"/>
              </w:rPr>
              <w:t>规模</w:t>
            </w:r>
          </w:p>
        </w:tc>
        <w:tc>
          <w:tcPr>
            <w:tcW w:w="2354" w:type="pct"/>
            <w:vAlign w:val="center"/>
          </w:tcPr>
          <w:p>
            <w:pPr>
              <w:pStyle w:val="44"/>
              <w:jc w:val="left"/>
            </w:pPr>
            <w:r>
              <w:rPr>
                <w:rFonts w:hint="eastAsia"/>
              </w:rPr>
              <w:t>2.生产、处置或储存能力增大30%及以上的。</w:t>
            </w:r>
          </w:p>
        </w:tc>
        <w:tc>
          <w:tcPr>
            <w:tcW w:w="1711" w:type="pct"/>
            <w:vAlign w:val="center"/>
          </w:tcPr>
          <w:p>
            <w:pPr>
              <w:pStyle w:val="44"/>
            </w:pPr>
            <w:r>
              <w:rPr>
                <w:rFonts w:hint="eastAsia"/>
              </w:rPr>
              <w:t>与环评一致</w:t>
            </w:r>
          </w:p>
        </w:tc>
        <w:tc>
          <w:tcPr>
            <w:tcW w:w="1126" w:type="dxa"/>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3.生产、处置或储存能力增大，导致废水第一类污染物排放量增加的。</w:t>
            </w:r>
          </w:p>
        </w:tc>
        <w:tc>
          <w:tcPr>
            <w:tcW w:w="1711" w:type="pct"/>
            <w:vAlign w:val="center"/>
          </w:tcPr>
          <w:p>
            <w:pPr>
              <w:pStyle w:val="44"/>
            </w:pPr>
            <w:r>
              <w:rPr>
                <w:rFonts w:hint="eastAsia"/>
              </w:rPr>
              <w:t>与环评一致</w:t>
            </w:r>
          </w:p>
        </w:tc>
        <w:tc>
          <w:tcPr>
            <w:tcW w:w="1126" w:type="dxa"/>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711" w:type="pct"/>
            <w:vAlign w:val="center"/>
          </w:tcPr>
          <w:p>
            <w:pPr>
              <w:pStyle w:val="44"/>
            </w:pPr>
            <w:r>
              <w:rPr>
                <w:rFonts w:hint="eastAsia"/>
              </w:rPr>
              <w:t>与环评一致。</w:t>
            </w:r>
          </w:p>
        </w:tc>
        <w:tc>
          <w:tcPr>
            <w:tcW w:w="1126" w:type="dxa"/>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4"/>
            </w:pPr>
            <w:r>
              <w:t>地点</w:t>
            </w:r>
          </w:p>
        </w:tc>
        <w:tc>
          <w:tcPr>
            <w:tcW w:w="2354" w:type="pct"/>
            <w:vAlign w:val="center"/>
          </w:tcPr>
          <w:p>
            <w:pPr>
              <w:pStyle w:val="44"/>
              <w:jc w:val="left"/>
            </w:pPr>
            <w:r>
              <w:rPr>
                <w:rFonts w:hint="eastAsia"/>
              </w:rPr>
              <w:t>5.重新选址;在原厂址附近调整(包括总平面布置变化)导致环境防护距离范围变化且新增敏感点的。</w:t>
            </w:r>
          </w:p>
        </w:tc>
        <w:tc>
          <w:tcPr>
            <w:tcW w:w="1711" w:type="pct"/>
            <w:vAlign w:val="center"/>
          </w:tcPr>
          <w:p>
            <w:pPr>
              <w:pStyle w:val="44"/>
            </w:pPr>
            <w:r>
              <w:rPr>
                <w:rFonts w:hint="eastAsia"/>
              </w:rPr>
              <w:t>办公楼、危废间位置变化，不新增敏感点</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restart"/>
            <w:vAlign w:val="center"/>
          </w:tcPr>
          <w:p>
            <w:pPr>
              <w:pStyle w:val="44"/>
            </w:pPr>
            <w:r>
              <w:rPr>
                <w:rFonts w:hint="eastAsia"/>
              </w:rPr>
              <w:t>生产工艺</w:t>
            </w:r>
          </w:p>
        </w:tc>
        <w:tc>
          <w:tcPr>
            <w:tcW w:w="2354" w:type="pct"/>
            <w:vAlign w:val="center"/>
          </w:tcPr>
          <w:p>
            <w:pPr>
              <w:pStyle w:val="44"/>
              <w:jc w:val="left"/>
            </w:pPr>
            <w:r>
              <w:rPr>
                <w:rFonts w:hint="eastAsia"/>
              </w:rPr>
              <w:t>6.新增产品品种或生产工艺(含主要生产装置、设备及配套设施)、主要原辅材料、燃料变化，导致以下情形之一:</w:t>
            </w:r>
          </w:p>
          <w:p>
            <w:pPr>
              <w:pStyle w:val="44"/>
              <w:jc w:val="left"/>
            </w:pPr>
            <w:r>
              <w:rPr>
                <w:rFonts w:hint="eastAsia"/>
              </w:rPr>
              <w:t>(1)新增排放污染物种类的(毒性、挥发性降低的除外):</w:t>
            </w:r>
          </w:p>
          <w:p>
            <w:pPr>
              <w:pStyle w:val="44"/>
              <w:jc w:val="left"/>
            </w:pPr>
            <w:r>
              <w:rPr>
                <w:rFonts w:hint="eastAsia"/>
              </w:rPr>
              <w:t>(2)位于环境质量不达标区的建设项目相应污染物排放量增加的;</w:t>
            </w:r>
          </w:p>
          <w:p>
            <w:pPr>
              <w:pStyle w:val="44"/>
              <w:jc w:val="left"/>
            </w:pPr>
            <w:r>
              <w:rPr>
                <w:rFonts w:hint="eastAsia"/>
              </w:rPr>
              <w:t>(3)废水第一类污染物排放量增加的;</w:t>
            </w:r>
          </w:p>
          <w:p>
            <w:pPr>
              <w:pStyle w:val="44"/>
              <w:jc w:val="left"/>
            </w:pPr>
            <w:r>
              <w:rPr>
                <w:rFonts w:hint="eastAsia"/>
              </w:rPr>
              <w:t>(4)其他污染物排放量增加10%及以上的。</w:t>
            </w:r>
          </w:p>
        </w:tc>
        <w:tc>
          <w:tcPr>
            <w:tcW w:w="1711" w:type="pct"/>
            <w:vAlign w:val="center"/>
          </w:tcPr>
          <w:p>
            <w:pPr>
              <w:pStyle w:val="44"/>
            </w:pPr>
            <w:r>
              <w:rPr>
                <w:rFonts w:hint="eastAsia"/>
              </w:rPr>
              <w:t>与环评一致</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7.物料运输、装卸、贮存方式变化，导致大气污染物无组织排放量增加10%及以上的。</w:t>
            </w:r>
          </w:p>
        </w:tc>
        <w:tc>
          <w:tcPr>
            <w:tcW w:w="1711" w:type="pct"/>
            <w:vAlign w:val="center"/>
          </w:tcPr>
          <w:p>
            <w:pPr>
              <w:pStyle w:val="44"/>
            </w:pPr>
            <w:r>
              <w:rPr>
                <w:rFonts w:hint="eastAsia"/>
              </w:rPr>
              <w:t>与环评一致</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restart"/>
            <w:vAlign w:val="center"/>
          </w:tcPr>
          <w:p>
            <w:pPr>
              <w:pStyle w:val="44"/>
            </w:pPr>
            <w:r>
              <w:rPr>
                <w:rFonts w:hint="eastAsia"/>
              </w:rPr>
              <w:t>环境保护措施</w:t>
            </w:r>
          </w:p>
        </w:tc>
        <w:tc>
          <w:tcPr>
            <w:tcW w:w="2354" w:type="pct"/>
            <w:vAlign w:val="center"/>
          </w:tcPr>
          <w:p>
            <w:pPr>
              <w:pStyle w:val="44"/>
              <w:jc w:val="left"/>
            </w:pPr>
            <w:r>
              <w:rPr>
                <w:rFonts w:hint="eastAsia"/>
              </w:rPr>
              <w:t>8.废气、废水污染防治措施变化，导致第6条中所列情形之(废气无组织排放改为有组织排放、污染防治措施强化或改进的除外)或大气污染物无组织排放量增加10%及以上的。</w:t>
            </w:r>
          </w:p>
        </w:tc>
        <w:tc>
          <w:tcPr>
            <w:tcW w:w="1711" w:type="pct"/>
            <w:vAlign w:val="center"/>
          </w:tcPr>
          <w:p>
            <w:pPr>
              <w:pStyle w:val="44"/>
            </w:pPr>
            <w:r>
              <w:rPr>
                <w:rFonts w:hint="eastAsia"/>
              </w:rPr>
              <w:t>与环评一致</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9.新增废水直接排放口;废水由间接排放改为直接排放;废水直接排放口位置变化，导致不利环境影响加重的。</w:t>
            </w:r>
          </w:p>
        </w:tc>
        <w:tc>
          <w:tcPr>
            <w:tcW w:w="1711" w:type="pct"/>
            <w:vAlign w:val="center"/>
          </w:tcPr>
          <w:p>
            <w:pPr>
              <w:pStyle w:val="44"/>
            </w:pPr>
            <w:r>
              <w:rPr>
                <w:rFonts w:hint="eastAsia"/>
              </w:rPr>
              <w:t>生活污水不外排</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10.新增废气主要排放口(废气无组织排放改为有组织排放的除外);主要排放口排气筒高度降低10%及以上的。</w:t>
            </w:r>
          </w:p>
        </w:tc>
        <w:tc>
          <w:tcPr>
            <w:tcW w:w="1711" w:type="pct"/>
            <w:vAlign w:val="center"/>
          </w:tcPr>
          <w:p>
            <w:pPr>
              <w:pStyle w:val="44"/>
            </w:pPr>
            <w:r>
              <w:rPr>
                <w:rFonts w:hint="eastAsia"/>
              </w:rPr>
              <w:t>项目无新增废气排放口</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11.噪声、土壤或地下水污染防治措施变化，导致不利环境影响加重的。</w:t>
            </w:r>
          </w:p>
        </w:tc>
        <w:tc>
          <w:tcPr>
            <w:tcW w:w="1711" w:type="pct"/>
            <w:vAlign w:val="center"/>
          </w:tcPr>
          <w:p>
            <w:pPr>
              <w:pStyle w:val="44"/>
            </w:pPr>
            <w:r>
              <w:rPr>
                <w:rFonts w:hint="eastAsia"/>
              </w:rPr>
              <w:t>与环评一致</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12.固体废物利用处置方式由委托外单位利用处置改为自行利用处置的(自行利用处置设施单独开展环境影响评价的除外)固体废物自行处置方式变化，导致不利环境影响加重的。</w:t>
            </w:r>
          </w:p>
        </w:tc>
        <w:tc>
          <w:tcPr>
            <w:tcW w:w="1711" w:type="pct"/>
            <w:vAlign w:val="center"/>
          </w:tcPr>
          <w:p>
            <w:pPr>
              <w:pStyle w:val="44"/>
            </w:pPr>
            <w:r>
              <w:rPr>
                <w:rFonts w:hint="eastAsia"/>
              </w:rPr>
              <w:t>与环评一致</w:t>
            </w:r>
          </w:p>
        </w:tc>
        <w:tc>
          <w:tcPr>
            <w:tcW w:w="584" w:type="pct"/>
            <w:vAlign w:val="center"/>
          </w:tcPr>
          <w:p>
            <w:pPr>
              <w:pStyle w:val="44"/>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vAlign w:val="center"/>
          </w:tcPr>
          <w:p>
            <w:pPr>
              <w:pStyle w:val="44"/>
            </w:pPr>
          </w:p>
        </w:tc>
        <w:tc>
          <w:tcPr>
            <w:tcW w:w="2354" w:type="pct"/>
            <w:vAlign w:val="center"/>
          </w:tcPr>
          <w:p>
            <w:pPr>
              <w:pStyle w:val="44"/>
              <w:jc w:val="left"/>
            </w:pPr>
            <w:r>
              <w:rPr>
                <w:rFonts w:hint="eastAsia"/>
              </w:rPr>
              <w:t>13.</w:t>
            </w:r>
            <w:r>
              <w:t>事故废水暂存能力或拦截设施变化，导致环境风险防范能力弱化或降低的。</w:t>
            </w:r>
          </w:p>
        </w:tc>
        <w:tc>
          <w:tcPr>
            <w:tcW w:w="1711" w:type="pct"/>
            <w:vAlign w:val="center"/>
          </w:tcPr>
          <w:p>
            <w:pPr>
              <w:pStyle w:val="44"/>
            </w:pPr>
            <w:r>
              <w:rPr>
                <w:rFonts w:hint="eastAsia"/>
              </w:rPr>
              <w:t>项目不涉及</w:t>
            </w:r>
          </w:p>
        </w:tc>
        <w:tc>
          <w:tcPr>
            <w:tcW w:w="584" w:type="pct"/>
            <w:vAlign w:val="center"/>
          </w:tcPr>
          <w:p>
            <w:pPr>
              <w:pStyle w:val="44"/>
            </w:pPr>
            <w:r>
              <w:rPr>
                <w:rFonts w:hint="eastAsia"/>
              </w:rPr>
              <w:t>否</w:t>
            </w:r>
          </w:p>
        </w:tc>
      </w:tr>
    </w:tbl>
    <w:p>
      <w:pPr>
        <w:ind w:firstLine="480"/>
        <w:sectPr>
          <w:pgSz w:w="11905" w:h="16838"/>
          <w:pgMar w:top="1247" w:right="1247" w:bottom="1247" w:left="1247" w:header="709" w:footer="680" w:gutter="0"/>
          <w:cols w:space="720" w:num="1"/>
          <w:docGrid w:type="lines" w:linePitch="326" w:charSpace="0"/>
        </w:sectPr>
      </w:pPr>
      <w:r>
        <w:t>经对照，环办环评函〔2020〕688号《关于印发污染影响类建设项目重大变动清单（试行）的通知》要求，上述变动均未对设计规模、工艺、建设地点等造成重大影响，因此以上变动情况不构成重大变动。</w:t>
      </w:r>
      <w:bookmarkEnd w:id="425"/>
      <w:bookmarkEnd w:id="426"/>
      <w:bookmarkEnd w:id="427"/>
      <w:bookmarkEnd w:id="428"/>
      <w:bookmarkEnd w:id="429"/>
      <w:bookmarkEnd w:id="430"/>
    </w:p>
    <w:p>
      <w:pPr>
        <w:pStyle w:val="3"/>
      </w:pPr>
      <w:bookmarkStart w:id="431" w:name="_Toc405546965"/>
      <w:bookmarkStart w:id="432" w:name="_Toc5292"/>
      <w:bookmarkStart w:id="433" w:name="_Toc14333_WPSOffice_Level1"/>
      <w:bookmarkStart w:id="434" w:name="_Toc25231"/>
      <w:bookmarkStart w:id="435" w:name="_Toc16503"/>
      <w:bookmarkStart w:id="436" w:name="_Toc12142_WPSOffice_Level1"/>
      <w:bookmarkStart w:id="437" w:name="_Toc508787707"/>
      <w:bookmarkStart w:id="438" w:name="_Toc7928"/>
      <w:bookmarkStart w:id="439" w:name="_Toc22883"/>
      <w:bookmarkStart w:id="440" w:name="_Toc26362"/>
      <w:bookmarkStart w:id="441" w:name="_Toc19076"/>
      <w:bookmarkStart w:id="442" w:name="_Toc15403_WPSOffice_Level1"/>
      <w:bookmarkStart w:id="443" w:name="_Toc8486"/>
      <w:bookmarkStart w:id="444" w:name="_Toc16315"/>
      <w:bookmarkStart w:id="445" w:name="_Toc16273"/>
      <w:bookmarkStart w:id="446" w:name="_Toc32272"/>
      <w:bookmarkStart w:id="447" w:name="_Toc23093_WPSOffice_Level1"/>
      <w:bookmarkStart w:id="448" w:name="_Toc28293"/>
      <w:bookmarkStart w:id="449" w:name="_Toc6971"/>
      <w:bookmarkStart w:id="450" w:name="_Toc31936"/>
      <w:bookmarkStart w:id="451" w:name="_Toc26220"/>
      <w:bookmarkStart w:id="452" w:name="_Toc14116"/>
      <w:bookmarkStart w:id="453" w:name="_Toc17269"/>
      <w:bookmarkStart w:id="454" w:name="_Toc12488"/>
      <w:bookmarkStart w:id="455" w:name="_Toc20926"/>
      <w:bookmarkStart w:id="456" w:name="_Toc11878"/>
      <w:bookmarkStart w:id="457" w:name="_Toc11243"/>
      <w:bookmarkStart w:id="458" w:name="_Toc6095_WPSOffice_Level1"/>
      <w:bookmarkStart w:id="459" w:name="_Toc304040986"/>
      <w:r>
        <w:t>第四章</w:t>
      </w:r>
      <w:bookmarkEnd w:id="431"/>
      <w:r>
        <w:t xml:space="preserve"> 环境保护设施</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bookmarkEnd w:id="459"/>
    <w:p>
      <w:pPr>
        <w:pStyle w:val="4"/>
      </w:pPr>
      <w:bookmarkStart w:id="460" w:name="_Toc29665"/>
      <w:bookmarkStart w:id="461" w:name="_Toc19615"/>
      <w:bookmarkStart w:id="462" w:name="_Toc16184"/>
      <w:bookmarkStart w:id="463" w:name="_Toc508787708"/>
      <w:bookmarkStart w:id="464" w:name="_Toc27236"/>
      <w:bookmarkStart w:id="465" w:name="_Toc5291"/>
      <w:bookmarkStart w:id="466" w:name="_Toc16772_WPSOffice_Level2"/>
      <w:bookmarkStart w:id="467" w:name="_Toc14343"/>
      <w:bookmarkStart w:id="468" w:name="_Toc24269"/>
      <w:bookmarkStart w:id="469" w:name="_Toc31354"/>
      <w:bookmarkStart w:id="470" w:name="_Toc21039_WPSOffice_Level2"/>
      <w:bookmarkStart w:id="471" w:name="_Toc7493_WPSOffice_Level2"/>
      <w:bookmarkStart w:id="472" w:name="_Toc6308"/>
      <w:bookmarkStart w:id="473" w:name="_Toc25039"/>
      <w:bookmarkStart w:id="474" w:name="_Toc628"/>
      <w:bookmarkStart w:id="475" w:name="_Toc24032"/>
      <w:bookmarkStart w:id="476" w:name="_Toc10968"/>
      <w:bookmarkStart w:id="477" w:name="_Toc5713"/>
      <w:bookmarkStart w:id="478" w:name="_Toc3390"/>
      <w:bookmarkStart w:id="479" w:name="_Toc10830"/>
      <w:bookmarkStart w:id="480" w:name="_Toc2802"/>
      <w:bookmarkStart w:id="481" w:name="_Toc15356"/>
      <w:bookmarkStart w:id="482" w:name="_Toc2434"/>
      <w:bookmarkStart w:id="483" w:name="_Toc17654"/>
      <w:bookmarkStart w:id="484" w:name="_Toc28084_WPSOffice_Level2"/>
      <w:bookmarkStart w:id="485" w:name="_Toc10418_WPSOffice_Level2"/>
      <w:bookmarkStart w:id="486" w:name="_Toc21356"/>
      <w:r>
        <w:t>4.1污染物治理</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rFonts w:hint="eastAsia"/>
        </w:rPr>
        <w:t>/处置设施</w:t>
      </w:r>
      <w:bookmarkEnd w:id="486"/>
      <w:r>
        <w:rPr>
          <w:rFonts w:hint="eastAsia"/>
        </w:rPr>
        <w:t xml:space="preserve">  </w:t>
      </w:r>
    </w:p>
    <w:p>
      <w:pPr>
        <w:pStyle w:val="5"/>
      </w:pPr>
      <w:bookmarkStart w:id="487" w:name="_Toc21215_WPSOffice_Level3"/>
      <w:r>
        <w:t xml:space="preserve">4.1.1 </w:t>
      </w:r>
      <w:r>
        <w:rPr>
          <w:rFonts w:hint="eastAsia"/>
        </w:rPr>
        <w:t>废水</w:t>
      </w:r>
    </w:p>
    <w:p>
      <w:pPr>
        <w:ind w:firstLine="480"/>
        <w:jc w:val="left"/>
        <w:rPr>
          <w:bCs/>
        </w:rPr>
      </w:pPr>
      <w:r>
        <w:rPr>
          <w:bCs/>
        </w:rPr>
        <w:t>厂区排水采用“雨污分流制”，建筑物屋面雨水经落水管排至雨水管网；废水主要为生活废水。</w:t>
      </w:r>
    </w:p>
    <w:p>
      <w:pPr>
        <w:ind w:firstLine="480"/>
        <w:jc w:val="left"/>
        <w:rPr>
          <w:bCs/>
        </w:rPr>
      </w:pPr>
      <w:r>
        <w:rPr>
          <w:rFonts w:hint="eastAsia"/>
          <w:bCs/>
        </w:rPr>
        <w:t>职工生活污水经化粪池处理后，进入厂区污水处理设施，处理工艺为厌氧--好氧--出水，出水水质满足《城市污水再生利用 绿地灌溉水质》 (</w:t>
      </w:r>
      <w:r>
        <w:rPr>
          <w:rFonts w:hint="eastAsia"/>
          <w:bCs/>
          <w:lang w:eastAsia="zh-CN"/>
        </w:rPr>
        <w:t>GB</w:t>
      </w:r>
      <w:r>
        <w:rPr>
          <w:rFonts w:hint="eastAsia"/>
          <w:bCs/>
        </w:rPr>
        <w:t>/T25499-2010)标准后，回用于厂区绿化及喷洒厂区路面，不外排。</w:t>
      </w:r>
    </w:p>
    <w:p>
      <w:pPr>
        <w:ind w:firstLine="480"/>
        <w:jc w:val="left"/>
        <w:rPr>
          <w:bCs/>
        </w:rPr>
      </w:pPr>
      <w:r>
        <w:t>废</w:t>
      </w:r>
      <w:r>
        <w:rPr>
          <w:rFonts w:hint="eastAsia"/>
        </w:rPr>
        <w:t>水</w:t>
      </w:r>
      <w:r>
        <w:t>治理设施见图4.1-1</w:t>
      </w:r>
    </w:p>
    <w:tbl>
      <w:tblPr>
        <w:tblStyle w:val="35"/>
        <w:tblW w:w="0" w:type="auto"/>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6"/>
        <w:gridCol w:w="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6" w:type="dxa"/>
          </w:tcPr>
          <w:p>
            <w:pPr>
              <w:ind w:firstLine="0" w:firstLineChars="0"/>
              <w:rPr>
                <w:bCs/>
              </w:rPr>
            </w:pPr>
            <w:r>
              <w:rPr>
                <w:rFonts w:hint="eastAsia"/>
                <w:bCs/>
              </w:rPr>
              <w:drawing>
                <wp:inline distT="0" distB="0" distL="114300" distR="114300">
                  <wp:extent cx="2973705" cy="3966845"/>
                  <wp:effectExtent l="0" t="0" r="17145" b="14605"/>
                  <wp:docPr id="18" name="图片 18" descr="0e7e2c790eee5e1b0a38fdb728cb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e7e2c790eee5e1b0a38fdb728cb9e3"/>
                          <pic:cNvPicPr>
                            <a:picLocks noChangeAspect="1"/>
                          </pic:cNvPicPr>
                        </pic:nvPicPr>
                        <pic:blipFill>
                          <a:blip r:embed="rId23"/>
                          <a:stretch>
                            <a:fillRect/>
                          </a:stretch>
                        </pic:blipFill>
                        <pic:spPr>
                          <a:xfrm>
                            <a:off x="0" y="0"/>
                            <a:ext cx="2973705" cy="3966845"/>
                          </a:xfrm>
                          <a:prstGeom prst="rect">
                            <a:avLst/>
                          </a:prstGeom>
                        </pic:spPr>
                      </pic:pic>
                    </a:graphicData>
                  </a:graphic>
                </wp:inline>
              </w:drawing>
            </w:r>
          </w:p>
        </w:tc>
        <w:tc>
          <w:tcPr>
            <w:tcW w:w="4281" w:type="dxa"/>
          </w:tcPr>
          <w:p>
            <w:pPr>
              <w:ind w:firstLine="0" w:firstLineChars="0"/>
              <w:rPr>
                <w:bCs/>
              </w:rPr>
            </w:pPr>
            <w:r>
              <w:rPr>
                <w:rFonts w:hint="eastAsia"/>
                <w:bCs/>
              </w:rPr>
              <w:drawing>
                <wp:inline distT="0" distB="0" distL="114300" distR="114300">
                  <wp:extent cx="2587625" cy="3590290"/>
                  <wp:effectExtent l="0" t="0" r="3175" b="10160"/>
                  <wp:docPr id="21" name="图片 21" descr="污水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污水处理设施"/>
                          <pic:cNvPicPr>
                            <a:picLocks noChangeAspect="1"/>
                          </pic:cNvPicPr>
                        </pic:nvPicPr>
                        <pic:blipFill>
                          <a:blip r:embed="rId24"/>
                          <a:stretch>
                            <a:fillRect/>
                          </a:stretch>
                        </pic:blipFill>
                        <pic:spPr>
                          <a:xfrm>
                            <a:off x="0" y="0"/>
                            <a:ext cx="2587625" cy="3590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7" w:type="dxa"/>
            <w:gridSpan w:val="2"/>
          </w:tcPr>
          <w:p>
            <w:pPr>
              <w:pStyle w:val="48"/>
              <w:widowControl w:val="0"/>
              <w:rPr>
                <w:rFonts w:eastAsia="宋体"/>
                <w:bCs/>
              </w:rPr>
            </w:pPr>
            <w:r>
              <w:t>图4.1-1  废</w:t>
            </w:r>
            <w:r>
              <w:rPr>
                <w:rFonts w:hint="eastAsia"/>
              </w:rPr>
              <w:t>水</w:t>
            </w:r>
            <w:r>
              <w:t>治理设施</w:t>
            </w:r>
          </w:p>
        </w:tc>
      </w:tr>
    </w:tbl>
    <w:p>
      <w:pPr>
        <w:ind w:firstLine="480"/>
        <w:jc w:val="center"/>
        <w:rPr>
          <w:bCs/>
        </w:rPr>
      </w:pPr>
    </w:p>
    <w:p>
      <w:pPr>
        <w:pStyle w:val="5"/>
      </w:pPr>
      <w:r>
        <w:rPr>
          <w:rFonts w:hint="eastAsia"/>
        </w:rPr>
        <w:t>4.1.2</w:t>
      </w:r>
      <w:r>
        <w:t>废气</w:t>
      </w:r>
      <w:bookmarkEnd w:id="487"/>
    </w:p>
    <w:p>
      <w:pPr>
        <w:ind w:firstLine="482"/>
        <w:rPr>
          <w:b/>
          <w:bCs/>
        </w:rPr>
      </w:pPr>
      <w:r>
        <w:rPr>
          <w:b/>
          <w:bCs/>
        </w:rPr>
        <w:t>1、有组织废气</w:t>
      </w:r>
    </w:p>
    <w:p>
      <w:pPr>
        <w:ind w:firstLine="480"/>
      </w:pPr>
      <w:r>
        <w:t xml:space="preserve">① </w:t>
      </w:r>
      <w:r>
        <w:rPr>
          <w:rFonts w:hint="eastAsia"/>
        </w:rPr>
        <w:t>切割、焊接、打磨废气</w:t>
      </w:r>
    </w:p>
    <w:p>
      <w:pPr>
        <w:ind w:firstLine="480"/>
      </w:pPr>
      <w:r>
        <w:t>下料切割等过程会产生切割废气</w:t>
      </w:r>
      <w:r>
        <w:rPr>
          <w:rFonts w:hint="eastAsia"/>
        </w:rPr>
        <w:t>、</w:t>
      </w:r>
      <w:r>
        <w:t>焊接</w:t>
      </w:r>
      <w:r>
        <w:rPr>
          <w:rFonts w:hint="eastAsia"/>
        </w:rPr>
        <w:t>（二保焊）</w:t>
      </w:r>
      <w:r>
        <w:t>过程产生焊接烟尘</w:t>
      </w:r>
      <w:r>
        <w:rPr>
          <w:rFonts w:hint="eastAsia"/>
        </w:rPr>
        <w:t>、</w:t>
      </w:r>
      <w:r>
        <w:t>打磨过程产生打磨粉尘</w:t>
      </w:r>
      <w:r>
        <w:rPr>
          <w:rFonts w:hint="eastAsia"/>
        </w:rPr>
        <w:t>通过集气罩收集后经布袋除尘器处理，处理后的废气经15米高排气筒（DA001）排放。</w:t>
      </w:r>
    </w:p>
    <w:p>
      <w:pPr>
        <w:pStyle w:val="68"/>
        <w:ind w:firstLine="480"/>
        <w:rPr>
          <w:szCs w:val="24"/>
        </w:rPr>
      </w:pPr>
      <w:r>
        <w:rPr>
          <w:szCs w:val="24"/>
        </w:rPr>
        <w:t>② 喷漆、烘干、固化废气</w:t>
      </w:r>
    </w:p>
    <w:p>
      <w:pPr>
        <w:ind w:firstLine="480"/>
      </w:pPr>
      <w:r>
        <w:rPr>
          <w:rFonts w:hint="eastAsia"/>
        </w:rPr>
        <w:t>喷漆在喷漆车间内进行，喷漆房密闭负压收集喷漆废气，喷漆与喷粉固化、烘干再同一个固化烘干房内交替完成，喷漆、固化、烘干工序产生的废气通过负压收集、干式过滤、活性炭吸附、催化燃烧后，经15米高排气筒</w:t>
      </w:r>
      <w:r>
        <w:t>（DA003）</w:t>
      </w:r>
      <w:r>
        <w:rPr>
          <w:rFonts w:hint="eastAsia"/>
        </w:rPr>
        <w:t>排放。</w:t>
      </w:r>
    </w:p>
    <w:p>
      <w:pPr>
        <w:ind w:firstLine="480"/>
      </w:pPr>
      <w:r>
        <w:t xml:space="preserve">③ </w:t>
      </w:r>
      <w:r>
        <w:rPr>
          <w:rFonts w:hint="eastAsia"/>
        </w:rPr>
        <w:t>喷粉</w:t>
      </w:r>
      <w:r>
        <w:t>废气</w:t>
      </w:r>
    </w:p>
    <w:p>
      <w:pPr>
        <w:ind w:firstLine="480"/>
      </w:pPr>
      <w:r>
        <w:rPr>
          <w:rFonts w:hint="eastAsia"/>
        </w:rPr>
        <w:t>喷粉</w:t>
      </w:r>
      <w:r>
        <w:t>废气收集后通过</w:t>
      </w:r>
      <w:r>
        <w:rPr>
          <w:rFonts w:hint="eastAsia"/>
        </w:rPr>
        <w:t>旋风滤芯回收系统、</w:t>
      </w:r>
      <w:r>
        <w:t>布袋除尘器</w:t>
      </w:r>
      <w:r>
        <w:rPr>
          <w:rFonts w:hint="eastAsia"/>
        </w:rPr>
        <w:t>处理后，经</w:t>
      </w:r>
      <w:r>
        <w:t>15m排气筒（DA00</w:t>
      </w:r>
      <w:r>
        <w:rPr>
          <w:rFonts w:hint="eastAsia"/>
        </w:rPr>
        <w:t>2</w:t>
      </w:r>
      <w:r>
        <w:t>）排放。</w:t>
      </w:r>
    </w:p>
    <w:p>
      <w:pPr>
        <w:pStyle w:val="68"/>
        <w:ind w:firstLine="482"/>
        <w:rPr>
          <w:b/>
          <w:bCs/>
          <w:kern w:val="0"/>
          <w:szCs w:val="24"/>
        </w:rPr>
      </w:pPr>
      <w:r>
        <w:rPr>
          <w:b/>
          <w:bCs/>
          <w:kern w:val="0"/>
          <w:szCs w:val="24"/>
        </w:rPr>
        <w:t>2、无组织废气</w:t>
      </w:r>
    </w:p>
    <w:p>
      <w:pPr>
        <w:ind w:firstLine="480"/>
      </w:pPr>
      <w:r>
        <w:t>项目无组织排放工序包括</w:t>
      </w:r>
      <w:r>
        <w:rPr>
          <w:rFonts w:hint="eastAsia"/>
        </w:rPr>
        <w:t>切割、焊接、打磨、喷漆、固化、烘干、喷粉</w:t>
      </w:r>
      <w:r>
        <w:t>工序</w:t>
      </w:r>
      <w:r>
        <w:rPr>
          <w:rFonts w:hint="eastAsia"/>
        </w:rPr>
        <w:t>未被收集的</w:t>
      </w:r>
      <w:r>
        <w:t>无组织颗粒物</w:t>
      </w:r>
      <w:r>
        <w:rPr>
          <w:rFonts w:hint="eastAsia"/>
        </w:rPr>
        <w:t>、</w:t>
      </w:r>
      <w:r>
        <w:t>VOCs。通过加强操作管理</w:t>
      </w:r>
      <w:r>
        <w:rPr>
          <w:rFonts w:hint="eastAsia"/>
        </w:rPr>
        <w:t>和</w:t>
      </w:r>
      <w:r>
        <w:t>车间</w:t>
      </w:r>
      <w:r>
        <w:rPr>
          <w:rFonts w:hint="eastAsia"/>
        </w:rPr>
        <w:t>通风</w:t>
      </w:r>
      <w:r>
        <w:t>，减小对人体和周围环境的影响。</w:t>
      </w:r>
    </w:p>
    <w:p>
      <w:pPr>
        <w:ind w:firstLine="480"/>
      </w:pPr>
      <w:r>
        <w:t>有组织废气产生及排放情况见表4.1-1、废气治理设施见图4.1-</w:t>
      </w:r>
      <w:r>
        <w:rPr>
          <w:rFonts w:hint="eastAsia"/>
        </w:rPr>
        <w:t>2</w:t>
      </w:r>
      <w:r>
        <w:t>。</w:t>
      </w:r>
    </w:p>
    <w:p>
      <w:pPr>
        <w:pStyle w:val="48"/>
      </w:pPr>
      <w:r>
        <w:t>表4.1-1 有组织废气产生及排放一览表</w:t>
      </w:r>
    </w:p>
    <w:tbl>
      <w:tblPr>
        <w:tblStyle w:val="3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735"/>
        <w:gridCol w:w="1604"/>
        <w:gridCol w:w="2634"/>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29" w:type="pct"/>
            <w:noWrap/>
            <w:vAlign w:val="center"/>
          </w:tcPr>
          <w:p>
            <w:pPr>
              <w:pStyle w:val="44"/>
              <w:rPr>
                <w:sz w:val="18"/>
                <w:szCs w:val="18"/>
              </w:rPr>
            </w:pPr>
            <w:r>
              <w:rPr>
                <w:rFonts w:hint="eastAsia"/>
                <w:sz w:val="18"/>
                <w:szCs w:val="18"/>
              </w:rPr>
              <w:t>产生环节</w:t>
            </w:r>
          </w:p>
        </w:tc>
        <w:tc>
          <w:tcPr>
            <w:tcW w:w="902" w:type="pct"/>
            <w:vAlign w:val="center"/>
          </w:tcPr>
          <w:p>
            <w:pPr>
              <w:pStyle w:val="44"/>
              <w:rPr>
                <w:sz w:val="18"/>
                <w:szCs w:val="18"/>
              </w:rPr>
            </w:pPr>
            <w:r>
              <w:rPr>
                <w:rFonts w:hint="eastAsia"/>
                <w:sz w:val="18"/>
                <w:szCs w:val="18"/>
              </w:rPr>
              <w:t>产生源</w:t>
            </w:r>
          </w:p>
        </w:tc>
        <w:tc>
          <w:tcPr>
            <w:tcW w:w="833" w:type="pct"/>
            <w:vAlign w:val="center"/>
          </w:tcPr>
          <w:p>
            <w:pPr>
              <w:pStyle w:val="44"/>
              <w:rPr>
                <w:sz w:val="18"/>
                <w:szCs w:val="18"/>
              </w:rPr>
            </w:pPr>
            <w:r>
              <w:rPr>
                <w:sz w:val="18"/>
                <w:szCs w:val="18"/>
              </w:rPr>
              <w:t>污染物名称</w:t>
            </w:r>
          </w:p>
        </w:tc>
        <w:tc>
          <w:tcPr>
            <w:tcW w:w="1369" w:type="pct"/>
            <w:vAlign w:val="center"/>
          </w:tcPr>
          <w:p>
            <w:pPr>
              <w:pStyle w:val="44"/>
              <w:rPr>
                <w:sz w:val="18"/>
                <w:szCs w:val="18"/>
              </w:rPr>
            </w:pPr>
            <w:r>
              <w:rPr>
                <w:sz w:val="18"/>
                <w:szCs w:val="18"/>
              </w:rPr>
              <w:t>污染防治设施/措施</w:t>
            </w:r>
          </w:p>
        </w:tc>
        <w:tc>
          <w:tcPr>
            <w:tcW w:w="1164" w:type="pct"/>
            <w:vAlign w:val="center"/>
          </w:tcPr>
          <w:p>
            <w:pPr>
              <w:pStyle w:val="44"/>
              <w:rPr>
                <w:sz w:val="18"/>
                <w:szCs w:val="18"/>
              </w:rPr>
            </w:pPr>
            <w:r>
              <w:rPr>
                <w:sz w:val="18"/>
                <w:szCs w:val="18"/>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29" w:type="pct"/>
            <w:noWrap/>
            <w:vAlign w:val="center"/>
          </w:tcPr>
          <w:p>
            <w:pPr>
              <w:pStyle w:val="44"/>
              <w:rPr>
                <w:sz w:val="18"/>
                <w:szCs w:val="18"/>
              </w:rPr>
            </w:pPr>
            <w:r>
              <w:rPr>
                <w:sz w:val="18"/>
                <w:szCs w:val="18"/>
              </w:rPr>
              <w:t>切割、焊接、打磨</w:t>
            </w:r>
          </w:p>
        </w:tc>
        <w:tc>
          <w:tcPr>
            <w:tcW w:w="902" w:type="pct"/>
            <w:vAlign w:val="center"/>
          </w:tcPr>
          <w:p>
            <w:pPr>
              <w:pStyle w:val="44"/>
              <w:rPr>
                <w:sz w:val="18"/>
                <w:szCs w:val="18"/>
              </w:rPr>
            </w:pPr>
            <w:r>
              <w:rPr>
                <w:sz w:val="18"/>
                <w:szCs w:val="18"/>
              </w:rPr>
              <w:t>切割机、焊接机、打磨工序</w:t>
            </w:r>
          </w:p>
        </w:tc>
        <w:tc>
          <w:tcPr>
            <w:tcW w:w="833" w:type="pct"/>
            <w:vAlign w:val="center"/>
          </w:tcPr>
          <w:p>
            <w:pPr>
              <w:pStyle w:val="44"/>
              <w:rPr>
                <w:sz w:val="18"/>
                <w:szCs w:val="18"/>
              </w:rPr>
            </w:pPr>
            <w:r>
              <w:rPr>
                <w:sz w:val="18"/>
                <w:szCs w:val="18"/>
              </w:rPr>
              <w:t>颗粒物</w:t>
            </w:r>
          </w:p>
        </w:tc>
        <w:tc>
          <w:tcPr>
            <w:tcW w:w="1369" w:type="pct"/>
            <w:vAlign w:val="center"/>
          </w:tcPr>
          <w:p>
            <w:pPr>
              <w:pStyle w:val="44"/>
              <w:rPr>
                <w:sz w:val="18"/>
                <w:szCs w:val="18"/>
              </w:rPr>
            </w:pPr>
            <w:r>
              <w:rPr>
                <w:sz w:val="18"/>
                <w:szCs w:val="18"/>
              </w:rPr>
              <w:t>集气罩+布袋除尘器</w:t>
            </w:r>
          </w:p>
        </w:tc>
        <w:tc>
          <w:tcPr>
            <w:tcW w:w="1164" w:type="pct"/>
            <w:vAlign w:val="center"/>
          </w:tcPr>
          <w:p>
            <w:pPr>
              <w:pStyle w:val="44"/>
              <w:rPr>
                <w:sz w:val="18"/>
                <w:szCs w:val="18"/>
              </w:rPr>
            </w:pPr>
            <w:r>
              <w:rPr>
                <w:sz w:val="18"/>
                <w:szCs w:val="18"/>
              </w:rPr>
              <w:t>废气通过15米高排气筒(DA001)排放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29" w:type="pct"/>
            <w:noWrap/>
            <w:vAlign w:val="center"/>
          </w:tcPr>
          <w:p>
            <w:pPr>
              <w:pStyle w:val="44"/>
              <w:rPr>
                <w:sz w:val="18"/>
                <w:szCs w:val="18"/>
              </w:rPr>
            </w:pPr>
            <w:r>
              <w:rPr>
                <w:sz w:val="18"/>
                <w:szCs w:val="18"/>
              </w:rPr>
              <w:t>喷漆、烘干、固化</w:t>
            </w:r>
          </w:p>
        </w:tc>
        <w:tc>
          <w:tcPr>
            <w:tcW w:w="902" w:type="pct"/>
            <w:vAlign w:val="center"/>
          </w:tcPr>
          <w:p>
            <w:pPr>
              <w:pStyle w:val="44"/>
              <w:rPr>
                <w:sz w:val="18"/>
                <w:szCs w:val="18"/>
              </w:rPr>
            </w:pPr>
            <w:r>
              <w:rPr>
                <w:rFonts w:hint="eastAsia"/>
                <w:sz w:val="18"/>
                <w:szCs w:val="18"/>
              </w:rPr>
              <w:t>喷漆车间、烘干固化车间</w:t>
            </w:r>
          </w:p>
        </w:tc>
        <w:tc>
          <w:tcPr>
            <w:tcW w:w="833" w:type="pct"/>
            <w:vAlign w:val="center"/>
          </w:tcPr>
          <w:p>
            <w:pPr>
              <w:pStyle w:val="44"/>
              <w:rPr>
                <w:sz w:val="18"/>
                <w:szCs w:val="18"/>
              </w:rPr>
            </w:pPr>
            <w:r>
              <w:rPr>
                <w:sz w:val="18"/>
                <w:szCs w:val="18"/>
              </w:rPr>
              <w:t>颗粒物、VOCs</w:t>
            </w:r>
          </w:p>
        </w:tc>
        <w:tc>
          <w:tcPr>
            <w:tcW w:w="1369" w:type="pct"/>
            <w:vAlign w:val="center"/>
          </w:tcPr>
          <w:p>
            <w:pPr>
              <w:pStyle w:val="44"/>
              <w:rPr>
                <w:sz w:val="18"/>
                <w:szCs w:val="18"/>
              </w:rPr>
            </w:pPr>
            <w:r>
              <w:rPr>
                <w:sz w:val="18"/>
                <w:szCs w:val="18"/>
              </w:rPr>
              <w:t>负压收集+干式过滤+活性炭吸附浓缩+催化燃烧</w:t>
            </w:r>
          </w:p>
        </w:tc>
        <w:tc>
          <w:tcPr>
            <w:tcW w:w="1164" w:type="pct"/>
            <w:vAlign w:val="center"/>
          </w:tcPr>
          <w:p>
            <w:pPr>
              <w:pStyle w:val="44"/>
              <w:rPr>
                <w:sz w:val="18"/>
                <w:szCs w:val="18"/>
              </w:rPr>
            </w:pPr>
            <w:r>
              <w:rPr>
                <w:sz w:val="18"/>
                <w:szCs w:val="18"/>
              </w:rPr>
              <w:t>废气15m排气筒(DA003)排放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29" w:type="pct"/>
            <w:noWrap/>
            <w:vAlign w:val="center"/>
          </w:tcPr>
          <w:p>
            <w:pPr>
              <w:pStyle w:val="44"/>
              <w:rPr>
                <w:sz w:val="18"/>
                <w:szCs w:val="18"/>
              </w:rPr>
            </w:pPr>
            <w:r>
              <w:rPr>
                <w:sz w:val="18"/>
                <w:szCs w:val="18"/>
              </w:rPr>
              <w:t>喷粉</w:t>
            </w:r>
          </w:p>
        </w:tc>
        <w:tc>
          <w:tcPr>
            <w:tcW w:w="902" w:type="pct"/>
            <w:vAlign w:val="center"/>
          </w:tcPr>
          <w:p>
            <w:pPr>
              <w:pStyle w:val="44"/>
              <w:rPr>
                <w:sz w:val="18"/>
                <w:szCs w:val="18"/>
              </w:rPr>
            </w:pPr>
            <w:r>
              <w:rPr>
                <w:sz w:val="18"/>
                <w:szCs w:val="18"/>
              </w:rPr>
              <w:t>喷粉车间</w:t>
            </w:r>
          </w:p>
        </w:tc>
        <w:tc>
          <w:tcPr>
            <w:tcW w:w="833" w:type="pct"/>
            <w:vAlign w:val="center"/>
          </w:tcPr>
          <w:p>
            <w:pPr>
              <w:pStyle w:val="44"/>
              <w:rPr>
                <w:sz w:val="18"/>
                <w:szCs w:val="18"/>
              </w:rPr>
            </w:pPr>
            <w:r>
              <w:rPr>
                <w:sz w:val="18"/>
                <w:szCs w:val="18"/>
              </w:rPr>
              <w:t>颗粒物</w:t>
            </w:r>
          </w:p>
        </w:tc>
        <w:tc>
          <w:tcPr>
            <w:tcW w:w="1369" w:type="pct"/>
            <w:vAlign w:val="center"/>
          </w:tcPr>
          <w:p>
            <w:pPr>
              <w:pStyle w:val="44"/>
              <w:rPr>
                <w:sz w:val="18"/>
                <w:szCs w:val="18"/>
              </w:rPr>
            </w:pPr>
            <w:r>
              <w:rPr>
                <w:sz w:val="18"/>
                <w:szCs w:val="18"/>
              </w:rPr>
              <w:t>密闭收集+旋风滤芯回收系统+布袋除尘器</w:t>
            </w:r>
          </w:p>
        </w:tc>
        <w:tc>
          <w:tcPr>
            <w:tcW w:w="1164" w:type="pct"/>
            <w:vAlign w:val="center"/>
          </w:tcPr>
          <w:p>
            <w:pPr>
              <w:pStyle w:val="44"/>
              <w:rPr>
                <w:sz w:val="18"/>
                <w:szCs w:val="18"/>
              </w:rPr>
            </w:pPr>
            <w:r>
              <w:rPr>
                <w:sz w:val="18"/>
                <w:szCs w:val="18"/>
              </w:rPr>
              <w:t>废气15m排气筒(DA002)排放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631" w:type="pct"/>
            <w:gridSpan w:val="2"/>
            <w:noWrap/>
            <w:vAlign w:val="center"/>
          </w:tcPr>
          <w:p>
            <w:pPr>
              <w:pStyle w:val="44"/>
              <w:rPr>
                <w:sz w:val="18"/>
                <w:szCs w:val="18"/>
              </w:rPr>
            </w:pPr>
            <w:r>
              <w:rPr>
                <w:sz w:val="18"/>
                <w:szCs w:val="18"/>
              </w:rPr>
              <w:t>无组织废气</w:t>
            </w:r>
          </w:p>
        </w:tc>
        <w:tc>
          <w:tcPr>
            <w:tcW w:w="833" w:type="pct"/>
            <w:vAlign w:val="center"/>
          </w:tcPr>
          <w:p>
            <w:pPr>
              <w:pStyle w:val="44"/>
              <w:rPr>
                <w:sz w:val="18"/>
                <w:szCs w:val="18"/>
              </w:rPr>
            </w:pPr>
            <w:r>
              <w:rPr>
                <w:sz w:val="18"/>
                <w:szCs w:val="18"/>
              </w:rPr>
              <w:t>颗粒物、VOCs</w:t>
            </w:r>
          </w:p>
        </w:tc>
        <w:tc>
          <w:tcPr>
            <w:tcW w:w="1369" w:type="pct"/>
            <w:vAlign w:val="center"/>
          </w:tcPr>
          <w:p>
            <w:pPr>
              <w:pStyle w:val="44"/>
              <w:rPr>
                <w:sz w:val="18"/>
                <w:szCs w:val="18"/>
              </w:rPr>
            </w:pPr>
            <w:r>
              <w:rPr>
                <w:sz w:val="18"/>
                <w:szCs w:val="18"/>
              </w:rPr>
              <w:t>规范操作、增加收集效率、车间通风</w:t>
            </w:r>
          </w:p>
        </w:tc>
        <w:tc>
          <w:tcPr>
            <w:tcW w:w="1164" w:type="pct"/>
            <w:vAlign w:val="center"/>
          </w:tcPr>
          <w:p>
            <w:pPr>
              <w:pStyle w:val="44"/>
              <w:rPr>
                <w:sz w:val="18"/>
                <w:szCs w:val="18"/>
              </w:rPr>
            </w:pPr>
            <w:r>
              <w:rPr>
                <w:sz w:val="18"/>
                <w:szCs w:val="18"/>
              </w:rPr>
              <w:t>无组织排放</w:t>
            </w:r>
          </w:p>
        </w:tc>
      </w:tr>
    </w:tbl>
    <w:p>
      <w:pPr>
        <w:spacing w:line="240" w:lineRule="auto"/>
        <w:ind w:firstLine="480"/>
        <w:rPr>
          <w:color w:val="FF0000"/>
          <w:highlight w:val="red"/>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8"/>
        <w:gridCol w:w="4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8" w:type="dxa"/>
            <w:vAlign w:val="center"/>
          </w:tcPr>
          <w:p>
            <w:pPr>
              <w:snapToGrid w:val="0"/>
              <w:spacing w:line="240" w:lineRule="auto"/>
              <w:ind w:firstLine="0" w:firstLineChars="0"/>
              <w:jc w:val="center"/>
              <w:rPr>
                <w:color w:val="FF0000"/>
              </w:rPr>
            </w:pPr>
            <w:r>
              <w:rPr>
                <w:rFonts w:hint="eastAsia"/>
                <w:color w:val="FF0000"/>
              </w:rPr>
              <w:drawing>
                <wp:inline distT="0" distB="0" distL="114300" distR="114300">
                  <wp:extent cx="2628900" cy="3505200"/>
                  <wp:effectExtent l="0" t="0" r="0" b="0"/>
                  <wp:docPr id="17" name="图片 17" descr="6c1f9a40f981124f87852648d415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c1f9a40f981124f87852648d415ed3"/>
                          <pic:cNvPicPr>
                            <a:picLocks noChangeAspect="1"/>
                          </pic:cNvPicPr>
                        </pic:nvPicPr>
                        <pic:blipFill>
                          <a:blip r:embed="rId25"/>
                          <a:stretch>
                            <a:fillRect/>
                          </a:stretch>
                        </pic:blipFill>
                        <pic:spPr>
                          <a:xfrm>
                            <a:off x="0" y="0"/>
                            <a:ext cx="2628900" cy="3505200"/>
                          </a:xfrm>
                          <a:prstGeom prst="rect">
                            <a:avLst/>
                          </a:prstGeom>
                        </pic:spPr>
                      </pic:pic>
                    </a:graphicData>
                  </a:graphic>
                </wp:inline>
              </w:drawing>
            </w:r>
          </w:p>
        </w:tc>
        <w:tc>
          <w:tcPr>
            <w:tcW w:w="4529" w:type="dxa"/>
            <w:vAlign w:val="center"/>
          </w:tcPr>
          <w:p>
            <w:pPr>
              <w:snapToGrid w:val="0"/>
              <w:spacing w:line="240" w:lineRule="auto"/>
              <w:ind w:firstLine="0" w:firstLineChars="0"/>
              <w:jc w:val="center"/>
              <w:rPr>
                <w:color w:val="FF0000"/>
              </w:rPr>
            </w:pPr>
            <w:r>
              <w:rPr>
                <w:color w:val="FF0000"/>
              </w:rPr>
              <w:drawing>
                <wp:inline distT="0" distB="0" distL="114300" distR="114300">
                  <wp:extent cx="2900045" cy="3590290"/>
                  <wp:effectExtent l="0" t="0" r="14605" b="10160"/>
                  <wp:docPr id="74" name="图片 155" descr="除尘环保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5" descr="除尘环保设备"/>
                          <pic:cNvPicPr>
                            <a:picLocks noChangeAspect="1"/>
                          </pic:cNvPicPr>
                        </pic:nvPicPr>
                        <pic:blipFill>
                          <a:blip r:embed="rId26"/>
                          <a:srcRect l="36496"/>
                          <a:stretch>
                            <a:fillRect/>
                          </a:stretch>
                        </pic:blipFill>
                        <pic:spPr>
                          <a:xfrm>
                            <a:off x="0" y="0"/>
                            <a:ext cx="2900045" cy="3590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88" w:type="dxa"/>
            <w:vAlign w:val="center"/>
          </w:tcPr>
          <w:p>
            <w:pPr>
              <w:snapToGrid w:val="0"/>
              <w:spacing w:line="240" w:lineRule="auto"/>
              <w:ind w:firstLine="0" w:firstLineChars="0"/>
              <w:jc w:val="center"/>
              <w:rPr>
                <w:color w:val="FF0000"/>
              </w:rPr>
            </w:pPr>
            <w:r>
              <w:rPr>
                <w:sz w:val="21"/>
                <w:szCs w:val="21"/>
              </w:rPr>
              <w:t>排气筒DA001</w:t>
            </w:r>
          </w:p>
        </w:tc>
        <w:tc>
          <w:tcPr>
            <w:tcW w:w="4529" w:type="dxa"/>
            <w:vAlign w:val="center"/>
          </w:tcPr>
          <w:p>
            <w:pPr>
              <w:snapToGrid w:val="0"/>
              <w:spacing w:line="240" w:lineRule="auto"/>
              <w:ind w:firstLine="0" w:firstLineChars="0"/>
              <w:jc w:val="center"/>
              <w:rPr>
                <w:color w:val="FF0000"/>
                <w:highlight w:val="red"/>
              </w:rPr>
            </w:pPr>
            <w:r>
              <w:rPr>
                <w:rFonts w:hint="eastAsia"/>
                <w:sz w:val="21"/>
                <w:szCs w:val="21"/>
              </w:rPr>
              <w:t>切割机、焊接机、打磨工序除尘器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88" w:type="dxa"/>
            <w:vAlign w:val="center"/>
          </w:tcPr>
          <w:p>
            <w:pPr>
              <w:snapToGrid w:val="0"/>
              <w:spacing w:line="240" w:lineRule="auto"/>
              <w:ind w:firstLine="0" w:firstLineChars="0"/>
              <w:jc w:val="center"/>
              <w:rPr>
                <w:color w:val="FF0000"/>
              </w:rPr>
            </w:pPr>
            <w:r>
              <w:rPr>
                <w:color w:val="FF0000"/>
              </w:rPr>
              <w:drawing>
                <wp:inline distT="0" distB="0" distL="114300" distR="114300">
                  <wp:extent cx="2769235" cy="3505200"/>
                  <wp:effectExtent l="0" t="0" r="12065" b="0"/>
                  <wp:docPr id="79" name="图片 167" descr="743645ab524ccdddbba3fc2b9a5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7" descr="743645ab524ccdddbba3fc2b9a54751"/>
                          <pic:cNvPicPr>
                            <a:picLocks noChangeAspect="1"/>
                          </pic:cNvPicPr>
                        </pic:nvPicPr>
                        <pic:blipFill>
                          <a:blip r:embed="rId27"/>
                          <a:srcRect l="33783" t="15324"/>
                          <a:stretch>
                            <a:fillRect/>
                          </a:stretch>
                        </pic:blipFill>
                        <pic:spPr>
                          <a:xfrm>
                            <a:off x="0" y="0"/>
                            <a:ext cx="2769235" cy="3505200"/>
                          </a:xfrm>
                          <a:prstGeom prst="rect">
                            <a:avLst/>
                          </a:prstGeom>
                          <a:noFill/>
                          <a:ln>
                            <a:noFill/>
                          </a:ln>
                        </pic:spPr>
                      </pic:pic>
                    </a:graphicData>
                  </a:graphic>
                </wp:inline>
              </w:drawing>
            </w:r>
          </w:p>
        </w:tc>
        <w:tc>
          <w:tcPr>
            <w:tcW w:w="4529" w:type="dxa"/>
            <w:vAlign w:val="center"/>
          </w:tcPr>
          <w:p>
            <w:pPr>
              <w:snapToGrid w:val="0"/>
              <w:spacing w:line="240" w:lineRule="auto"/>
              <w:ind w:firstLine="0" w:firstLineChars="0"/>
              <w:jc w:val="center"/>
              <w:rPr>
                <w:color w:val="FF0000"/>
              </w:rPr>
            </w:pPr>
            <w:r>
              <w:rPr>
                <w:color w:val="FF0000"/>
              </w:rPr>
              <w:drawing>
                <wp:inline distT="0" distB="0" distL="114300" distR="114300">
                  <wp:extent cx="2905760" cy="3577590"/>
                  <wp:effectExtent l="0" t="0" r="8890" b="3810"/>
                  <wp:docPr id="78" name="图片 166" descr="喷粉环保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6" descr="喷粉环保设备"/>
                          <pic:cNvPicPr>
                            <a:picLocks noChangeAspect="1"/>
                          </pic:cNvPicPr>
                        </pic:nvPicPr>
                        <pic:blipFill>
                          <a:blip r:embed="rId28"/>
                          <a:srcRect l="13887" t="21574" r="30960"/>
                          <a:stretch>
                            <a:fillRect/>
                          </a:stretch>
                        </pic:blipFill>
                        <pic:spPr>
                          <a:xfrm>
                            <a:off x="0" y="0"/>
                            <a:ext cx="2905760" cy="3577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88" w:type="dxa"/>
            <w:vAlign w:val="center"/>
          </w:tcPr>
          <w:p>
            <w:pPr>
              <w:snapToGrid w:val="0"/>
              <w:spacing w:line="240" w:lineRule="auto"/>
              <w:ind w:firstLine="0" w:firstLineChars="0"/>
              <w:jc w:val="center"/>
              <w:rPr>
                <w:sz w:val="21"/>
                <w:szCs w:val="21"/>
              </w:rPr>
            </w:pPr>
            <w:r>
              <w:rPr>
                <w:rFonts w:hint="eastAsia"/>
                <w:sz w:val="21"/>
                <w:szCs w:val="21"/>
              </w:rPr>
              <w:t>排气筒DA002</w:t>
            </w:r>
          </w:p>
        </w:tc>
        <w:tc>
          <w:tcPr>
            <w:tcW w:w="4529" w:type="dxa"/>
            <w:vAlign w:val="center"/>
          </w:tcPr>
          <w:p>
            <w:pPr>
              <w:snapToGrid w:val="0"/>
              <w:spacing w:line="240" w:lineRule="auto"/>
              <w:ind w:firstLine="0" w:firstLineChars="0"/>
              <w:jc w:val="center"/>
              <w:rPr>
                <w:sz w:val="21"/>
                <w:szCs w:val="21"/>
              </w:rPr>
            </w:pPr>
            <w:r>
              <w:rPr>
                <w:rFonts w:hint="eastAsia"/>
                <w:sz w:val="21"/>
                <w:szCs w:val="21"/>
              </w:rPr>
              <w:t>喷粉车间布袋除尘器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88" w:type="dxa"/>
            <w:vAlign w:val="center"/>
          </w:tcPr>
          <w:p>
            <w:pPr>
              <w:snapToGrid w:val="0"/>
              <w:spacing w:line="240" w:lineRule="auto"/>
              <w:ind w:firstLine="0" w:firstLineChars="0"/>
              <w:jc w:val="center"/>
              <w:rPr>
                <w:sz w:val="21"/>
                <w:szCs w:val="21"/>
              </w:rPr>
            </w:pPr>
            <w:r>
              <w:rPr>
                <w:color w:val="FF0000"/>
              </w:rPr>
              <w:drawing>
                <wp:inline distT="0" distB="0" distL="114300" distR="114300">
                  <wp:extent cx="2767330" cy="3690620"/>
                  <wp:effectExtent l="0" t="0" r="13970" b="5080"/>
                  <wp:docPr id="76" name="图片 163" descr="08b93c2e7354f89a4a8be65ab1fe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3" descr="08b93c2e7354f89a4a8be65ab1fe4d5"/>
                          <pic:cNvPicPr>
                            <a:picLocks noChangeAspect="1"/>
                          </pic:cNvPicPr>
                        </pic:nvPicPr>
                        <pic:blipFill>
                          <a:blip r:embed="rId29"/>
                          <a:stretch>
                            <a:fillRect/>
                          </a:stretch>
                        </pic:blipFill>
                        <pic:spPr>
                          <a:xfrm>
                            <a:off x="0" y="0"/>
                            <a:ext cx="2767330" cy="3690620"/>
                          </a:xfrm>
                          <a:prstGeom prst="rect">
                            <a:avLst/>
                          </a:prstGeom>
                          <a:noFill/>
                          <a:ln>
                            <a:noFill/>
                          </a:ln>
                        </pic:spPr>
                      </pic:pic>
                    </a:graphicData>
                  </a:graphic>
                </wp:inline>
              </w:drawing>
            </w:r>
          </w:p>
        </w:tc>
        <w:tc>
          <w:tcPr>
            <w:tcW w:w="4529" w:type="dxa"/>
            <w:vAlign w:val="center"/>
          </w:tcPr>
          <w:p>
            <w:pPr>
              <w:snapToGrid w:val="0"/>
              <w:spacing w:line="240" w:lineRule="auto"/>
              <w:ind w:firstLine="0" w:firstLineChars="0"/>
              <w:rPr>
                <w:sz w:val="21"/>
                <w:szCs w:val="21"/>
              </w:rPr>
            </w:pPr>
            <w:r>
              <w:rPr>
                <w:color w:val="FF0000"/>
              </w:rPr>
              <w:drawing>
                <wp:inline distT="0" distB="0" distL="114300" distR="114300">
                  <wp:extent cx="2729865" cy="3648710"/>
                  <wp:effectExtent l="0" t="0" r="13335" b="8890"/>
                  <wp:docPr id="77" name="图片 164" descr="催化燃烧+吸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4" descr="催化燃烧+吸附"/>
                          <pic:cNvPicPr>
                            <a:picLocks noChangeAspect="1"/>
                          </pic:cNvPicPr>
                        </pic:nvPicPr>
                        <pic:blipFill>
                          <a:blip r:embed="rId30"/>
                          <a:stretch>
                            <a:fillRect/>
                          </a:stretch>
                        </pic:blipFill>
                        <pic:spPr>
                          <a:xfrm>
                            <a:off x="0" y="0"/>
                            <a:ext cx="2729865" cy="3648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88" w:type="dxa"/>
            <w:vAlign w:val="center"/>
          </w:tcPr>
          <w:p>
            <w:pPr>
              <w:snapToGrid w:val="0"/>
              <w:spacing w:line="240" w:lineRule="auto"/>
              <w:ind w:firstLine="0" w:firstLineChars="0"/>
              <w:jc w:val="center"/>
              <w:rPr>
                <w:sz w:val="21"/>
                <w:szCs w:val="21"/>
              </w:rPr>
            </w:pPr>
            <w:r>
              <w:rPr>
                <w:rFonts w:hint="eastAsia"/>
                <w:sz w:val="21"/>
                <w:szCs w:val="21"/>
              </w:rPr>
              <w:t>排气筒DA003</w:t>
            </w:r>
          </w:p>
        </w:tc>
        <w:tc>
          <w:tcPr>
            <w:tcW w:w="4529" w:type="dxa"/>
            <w:vAlign w:val="center"/>
          </w:tcPr>
          <w:p>
            <w:pPr>
              <w:snapToGrid w:val="0"/>
              <w:spacing w:line="240" w:lineRule="auto"/>
              <w:ind w:firstLine="0" w:firstLineChars="0"/>
              <w:jc w:val="center"/>
              <w:rPr>
                <w:sz w:val="21"/>
                <w:szCs w:val="21"/>
              </w:rPr>
            </w:pPr>
            <w:r>
              <w:rPr>
                <w:rFonts w:hint="eastAsia"/>
                <w:sz w:val="21"/>
                <w:szCs w:val="21"/>
              </w:rPr>
              <w:t>VOC治理设施</w:t>
            </w:r>
          </w:p>
        </w:tc>
      </w:tr>
    </w:tbl>
    <w:p>
      <w:pPr>
        <w:pStyle w:val="48"/>
      </w:pPr>
      <w:r>
        <w:t>图4.1-</w:t>
      </w:r>
      <w:r>
        <w:rPr>
          <w:rFonts w:hint="eastAsia"/>
        </w:rPr>
        <w:t>2</w:t>
      </w:r>
      <w:r>
        <w:t xml:space="preserve">  废气治理设施</w:t>
      </w:r>
    </w:p>
    <w:p>
      <w:pPr>
        <w:pStyle w:val="5"/>
      </w:pPr>
      <w:bookmarkStart w:id="488" w:name="_Toc25592_WPSOffice_Level3"/>
      <w:r>
        <w:t>4.1.3噪声</w:t>
      </w:r>
      <w:bookmarkEnd w:id="488"/>
    </w:p>
    <w:p>
      <w:pPr>
        <w:ind w:firstLine="480"/>
      </w:pPr>
      <w:bookmarkStart w:id="489" w:name="_Toc16243_WPSOffice_Level3"/>
      <w:r>
        <w:t>噪声主要来源于设备运行，主要噪声源为各类风机、</w:t>
      </w:r>
      <w:r>
        <w:rPr>
          <w:rFonts w:hint="eastAsia"/>
        </w:rPr>
        <w:t>切割机</w:t>
      </w:r>
      <w:r>
        <w:t>等。采取布置于车间或专用房间内，进行减震处理降低噪声影响。</w:t>
      </w:r>
    </w:p>
    <w:p>
      <w:pPr>
        <w:pStyle w:val="5"/>
      </w:pPr>
      <w:r>
        <w:t>4.1.4固体废物</w:t>
      </w:r>
      <w:bookmarkEnd w:id="489"/>
    </w:p>
    <w:p>
      <w:pPr>
        <w:ind w:firstLine="480"/>
      </w:pPr>
      <w:r>
        <w:t>固废按照要求进行分类处置，其中工业固废与生活垃圾分类处置、危险固废与一般固废分类处置。生活垃圾由环卫部门定期清运；</w:t>
      </w:r>
      <w:r>
        <w:rPr>
          <w:rFonts w:hint="eastAsia"/>
        </w:rPr>
        <w:t>下脚料、</w:t>
      </w:r>
      <w:r>
        <w:t>焊渣、焊头</w:t>
      </w:r>
      <w:r>
        <w:rPr>
          <w:rFonts w:hint="eastAsia"/>
        </w:rPr>
        <w:t>、</w:t>
      </w:r>
      <w:r>
        <w:t>包装物</w:t>
      </w:r>
      <w:r>
        <w:rPr>
          <w:rFonts w:hint="eastAsia"/>
        </w:rPr>
        <w:t>、除尘器颗粒物收集后外售，</w:t>
      </w:r>
      <w:r>
        <w:t>漆渣</w:t>
      </w:r>
      <w:r>
        <w:rPr>
          <w:rFonts w:hint="eastAsia"/>
        </w:rPr>
        <w:t>、</w:t>
      </w:r>
      <w:r>
        <w:t>漆料由厂家定期回收，切削液</w:t>
      </w:r>
      <w:r>
        <w:rPr>
          <w:rFonts w:hint="eastAsia"/>
        </w:rPr>
        <w:t>、</w:t>
      </w:r>
      <w:r>
        <w:t>废</w:t>
      </w:r>
      <w:r>
        <w:rPr>
          <w:rFonts w:hint="eastAsia"/>
        </w:rPr>
        <w:t>机油、废气治理设施中的</w:t>
      </w:r>
      <w:r>
        <w:t>废过滤纸</w:t>
      </w:r>
      <w:r>
        <w:rPr>
          <w:rFonts w:hint="eastAsia"/>
        </w:rPr>
        <w:t>、</w:t>
      </w:r>
      <w:r>
        <w:t>废活性炭</w:t>
      </w:r>
      <w:r>
        <w:rPr>
          <w:rFonts w:hint="eastAsia"/>
        </w:rPr>
        <w:t>、废催化剂</w:t>
      </w:r>
      <w:r>
        <w:t>委托</w:t>
      </w:r>
      <w:r>
        <w:rPr>
          <w:rFonts w:hint="eastAsia"/>
        </w:rPr>
        <w:t>有危废处置资质单位</w:t>
      </w:r>
      <w:r>
        <w:t>处理。</w:t>
      </w:r>
    </w:p>
    <w:p>
      <w:pPr>
        <w:ind w:firstLine="480"/>
      </w:pPr>
      <w:r>
        <w:t>固体废物产生及处置情况见表4.1-2，危废暂存库见图4.1-</w:t>
      </w:r>
      <w:r>
        <w:rPr>
          <w:rFonts w:hint="eastAsia"/>
        </w:rPr>
        <w:t>3</w:t>
      </w:r>
      <w:r>
        <w:t>。</w:t>
      </w:r>
    </w:p>
    <w:p>
      <w:pPr>
        <w:pStyle w:val="48"/>
      </w:pPr>
      <w:r>
        <w:t>表4.1-2 固体废物产生及处置情况一览表</w:t>
      </w:r>
    </w:p>
    <w:tbl>
      <w:tblPr>
        <w:tblStyle w:val="3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134"/>
        <w:gridCol w:w="766"/>
        <w:gridCol w:w="1116"/>
        <w:gridCol w:w="1597"/>
        <w:gridCol w:w="1728"/>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排放源</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名称</w:t>
            </w:r>
          </w:p>
        </w:tc>
        <w:tc>
          <w:tcPr>
            <w:tcW w:w="398"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废物</w:t>
            </w:r>
          </w:p>
          <w:p>
            <w:pPr>
              <w:widowControl/>
              <w:snapToGrid w:val="0"/>
              <w:spacing w:line="240" w:lineRule="auto"/>
              <w:ind w:firstLine="0" w:firstLineChars="0"/>
              <w:jc w:val="center"/>
              <w:rPr>
                <w:kern w:val="0"/>
                <w:sz w:val="21"/>
                <w:szCs w:val="21"/>
              </w:rPr>
            </w:pPr>
            <w:r>
              <w:rPr>
                <w:kern w:val="0"/>
                <w:sz w:val="21"/>
                <w:szCs w:val="21"/>
              </w:rPr>
              <w:t>类别</w:t>
            </w: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环评预计产生量</w:t>
            </w:r>
            <w:r>
              <w:rPr>
                <w:rFonts w:hint="eastAsia"/>
                <w:kern w:val="0"/>
                <w:sz w:val="21"/>
                <w:szCs w:val="21"/>
              </w:rPr>
              <w:t>（t/a）</w:t>
            </w:r>
          </w:p>
        </w:tc>
        <w:tc>
          <w:tcPr>
            <w:tcW w:w="83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实际建设产生量</w:t>
            </w:r>
            <w:r>
              <w:rPr>
                <w:rFonts w:hint="eastAsia"/>
                <w:kern w:val="0"/>
                <w:sz w:val="21"/>
                <w:szCs w:val="21"/>
              </w:rPr>
              <w:t>（t/a）</w:t>
            </w:r>
          </w:p>
        </w:tc>
        <w:tc>
          <w:tcPr>
            <w:tcW w:w="898"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处置方式</w:t>
            </w:r>
          </w:p>
        </w:tc>
        <w:tc>
          <w:tcPr>
            <w:tcW w:w="596"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pStyle w:val="52"/>
              <w:rPr>
                <w:kern w:val="0"/>
                <w:szCs w:val="21"/>
              </w:rPr>
            </w:pPr>
            <w:r>
              <w:rPr>
                <w:kern w:val="0"/>
                <w:szCs w:val="21"/>
              </w:rPr>
              <w:t>办公生活</w:t>
            </w:r>
          </w:p>
        </w:tc>
        <w:tc>
          <w:tcPr>
            <w:tcW w:w="1109" w:type="pct"/>
            <w:tcBorders>
              <w:top w:val="single" w:color="auto" w:sz="4" w:space="0"/>
              <w:left w:val="single" w:color="auto" w:sz="4" w:space="0"/>
              <w:bottom w:val="single" w:color="auto" w:sz="4" w:space="0"/>
              <w:right w:val="single" w:color="auto" w:sz="4" w:space="0"/>
            </w:tcBorders>
            <w:vAlign w:val="center"/>
          </w:tcPr>
          <w:p>
            <w:pPr>
              <w:pStyle w:val="52"/>
              <w:rPr>
                <w:kern w:val="0"/>
                <w:szCs w:val="21"/>
              </w:rPr>
            </w:pPr>
            <w:r>
              <w:rPr>
                <w:kern w:val="0"/>
                <w:szCs w:val="21"/>
              </w:rPr>
              <w:t>生活垃圾</w:t>
            </w:r>
          </w:p>
        </w:tc>
        <w:tc>
          <w:tcPr>
            <w:tcW w:w="398" w:type="pct"/>
            <w:tcBorders>
              <w:top w:val="single" w:color="auto" w:sz="4" w:space="0"/>
              <w:left w:val="single" w:color="auto" w:sz="4" w:space="0"/>
              <w:bottom w:val="single" w:color="auto" w:sz="4" w:space="0"/>
              <w:right w:val="single" w:color="auto" w:sz="4" w:space="0"/>
            </w:tcBorders>
            <w:vAlign w:val="center"/>
          </w:tcPr>
          <w:p>
            <w:pPr>
              <w:pStyle w:val="52"/>
              <w:rPr>
                <w:kern w:val="0"/>
                <w:szCs w:val="21"/>
              </w:rPr>
            </w:pPr>
            <w:r>
              <w:rPr>
                <w:kern w:val="0"/>
                <w:szCs w:val="21"/>
              </w:rPr>
              <w:t>一般</w:t>
            </w:r>
          </w:p>
          <w:p>
            <w:pPr>
              <w:widowControl/>
              <w:adjustRightInd w:val="0"/>
              <w:snapToGrid w:val="0"/>
              <w:spacing w:line="240" w:lineRule="auto"/>
              <w:ind w:firstLine="0" w:firstLineChars="0"/>
              <w:jc w:val="center"/>
              <w:rPr>
                <w:kern w:val="0"/>
                <w:sz w:val="21"/>
                <w:szCs w:val="21"/>
              </w:rPr>
            </w:pPr>
            <w:r>
              <w:rPr>
                <w:kern w:val="0"/>
                <w:sz w:val="21"/>
                <w:szCs w:val="21"/>
              </w:rPr>
              <w:t>固废</w:t>
            </w:r>
          </w:p>
        </w:tc>
        <w:tc>
          <w:tcPr>
            <w:tcW w:w="580"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r>
              <w:rPr>
                <w:rFonts w:hint="eastAsia"/>
                <w:kern w:val="0"/>
                <w:sz w:val="21"/>
                <w:szCs w:val="21"/>
              </w:rPr>
              <w:t>7.5t/a</w:t>
            </w:r>
          </w:p>
        </w:tc>
        <w:tc>
          <w:tcPr>
            <w:tcW w:w="830"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r>
              <w:rPr>
                <w:rFonts w:hint="eastAsia"/>
                <w:kern w:val="0"/>
                <w:sz w:val="21"/>
                <w:szCs w:val="21"/>
              </w:rPr>
              <w:t>5.4t/a</w:t>
            </w:r>
          </w:p>
        </w:tc>
        <w:tc>
          <w:tcPr>
            <w:tcW w:w="898"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r>
              <w:rPr>
                <w:kern w:val="0"/>
                <w:sz w:val="21"/>
                <w:szCs w:val="21"/>
              </w:rPr>
              <w:t>环卫部门清运</w:t>
            </w:r>
          </w:p>
        </w:tc>
        <w:tc>
          <w:tcPr>
            <w:tcW w:w="596"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机加工</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下脚料</w:t>
            </w:r>
          </w:p>
        </w:tc>
        <w:tc>
          <w:tcPr>
            <w:tcW w:w="398" w:type="pct"/>
            <w:vMerge w:val="restart"/>
            <w:tcBorders>
              <w:top w:val="single" w:color="auto" w:sz="4" w:space="0"/>
              <w:left w:val="single" w:color="auto" w:sz="4" w:space="0"/>
              <w:right w:val="single" w:color="auto" w:sz="4" w:space="0"/>
            </w:tcBorders>
            <w:vAlign w:val="center"/>
          </w:tcPr>
          <w:p>
            <w:pPr>
              <w:pStyle w:val="52"/>
              <w:rPr>
                <w:szCs w:val="21"/>
              </w:rPr>
            </w:pPr>
            <w:r>
              <w:rPr>
                <w:szCs w:val="21"/>
              </w:rPr>
              <w:t>一般</w:t>
            </w:r>
            <w:r>
              <w:rPr>
                <w:rFonts w:hint="eastAsia"/>
                <w:szCs w:val="21"/>
              </w:rPr>
              <w:t>工业</w:t>
            </w:r>
          </w:p>
          <w:p>
            <w:pPr>
              <w:pStyle w:val="52"/>
              <w:rPr>
                <w:szCs w:val="21"/>
              </w:rPr>
            </w:pPr>
            <w:r>
              <w:rPr>
                <w:szCs w:val="21"/>
              </w:rPr>
              <w:t>固废</w:t>
            </w: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9</w:t>
            </w:r>
          </w:p>
        </w:tc>
        <w:tc>
          <w:tcPr>
            <w:tcW w:w="830"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8.85</w:t>
            </w:r>
          </w:p>
        </w:tc>
        <w:tc>
          <w:tcPr>
            <w:tcW w:w="898" w:type="pct"/>
            <w:vMerge w:val="restart"/>
            <w:tcBorders>
              <w:top w:val="single" w:color="auto" w:sz="4" w:space="0"/>
              <w:left w:val="single" w:color="auto" w:sz="6" w:space="0"/>
              <w:right w:val="single" w:color="auto" w:sz="4" w:space="0"/>
            </w:tcBorders>
            <w:vAlign w:val="center"/>
          </w:tcPr>
          <w:p>
            <w:pPr>
              <w:widowControl/>
              <w:adjustRightInd w:val="0"/>
              <w:snapToGrid w:val="0"/>
              <w:spacing w:line="240" w:lineRule="auto"/>
              <w:ind w:firstLine="0" w:firstLineChars="0"/>
              <w:jc w:val="center"/>
              <w:rPr>
                <w:sz w:val="21"/>
                <w:szCs w:val="21"/>
              </w:rPr>
            </w:pPr>
            <w:r>
              <w:rPr>
                <w:kern w:val="0"/>
                <w:sz w:val="21"/>
                <w:szCs w:val="21"/>
              </w:rPr>
              <w:t>外售废旧物资回收单位</w:t>
            </w:r>
          </w:p>
        </w:tc>
        <w:tc>
          <w:tcPr>
            <w:tcW w:w="596"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焊接</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废焊渣及焊头</w:t>
            </w:r>
          </w:p>
        </w:tc>
        <w:tc>
          <w:tcPr>
            <w:tcW w:w="398" w:type="pct"/>
            <w:vMerge w:val="continue"/>
            <w:tcBorders>
              <w:left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0.15</w:t>
            </w:r>
          </w:p>
        </w:tc>
        <w:tc>
          <w:tcPr>
            <w:tcW w:w="830"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0.15</w:t>
            </w:r>
          </w:p>
        </w:tc>
        <w:tc>
          <w:tcPr>
            <w:tcW w:w="898" w:type="pct"/>
            <w:vMerge w:val="continue"/>
            <w:tcBorders>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c>
          <w:tcPr>
            <w:tcW w:w="596"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喷漆</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水性漆渣</w:t>
            </w:r>
          </w:p>
        </w:tc>
        <w:tc>
          <w:tcPr>
            <w:tcW w:w="398"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0.486</w:t>
            </w:r>
          </w:p>
        </w:tc>
        <w:tc>
          <w:tcPr>
            <w:tcW w:w="830"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0.490</w:t>
            </w:r>
          </w:p>
        </w:tc>
        <w:tc>
          <w:tcPr>
            <w:tcW w:w="898" w:type="pct"/>
            <w:vMerge w:val="restart"/>
            <w:tcBorders>
              <w:top w:val="single" w:color="auto" w:sz="4" w:space="0"/>
              <w:left w:val="single" w:color="auto" w:sz="6" w:space="0"/>
              <w:right w:val="single" w:color="auto" w:sz="4" w:space="0"/>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由厂家回收</w:t>
            </w:r>
          </w:p>
        </w:tc>
        <w:tc>
          <w:tcPr>
            <w:tcW w:w="596"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水性漆桶</w:t>
            </w:r>
          </w:p>
        </w:tc>
        <w:tc>
          <w:tcPr>
            <w:tcW w:w="398"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0.64</w:t>
            </w:r>
          </w:p>
        </w:tc>
        <w:tc>
          <w:tcPr>
            <w:tcW w:w="830"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0.65</w:t>
            </w:r>
          </w:p>
        </w:tc>
        <w:tc>
          <w:tcPr>
            <w:tcW w:w="898" w:type="pct"/>
            <w:vMerge w:val="continue"/>
            <w:tcBorders>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c>
          <w:tcPr>
            <w:tcW w:w="596" w:type="pct"/>
            <w:tcBorders>
              <w:top w:val="single" w:color="auto" w:sz="4" w:space="0"/>
              <w:left w:val="sing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喷粉</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废包装物</w:t>
            </w:r>
          </w:p>
        </w:tc>
        <w:tc>
          <w:tcPr>
            <w:tcW w:w="398" w:type="pct"/>
            <w:vMerge w:val="continue"/>
            <w:tcBorders>
              <w:left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0.015</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0.015</w:t>
            </w:r>
          </w:p>
        </w:tc>
        <w:tc>
          <w:tcPr>
            <w:tcW w:w="898" w:type="pct"/>
            <w:vMerge w:val="restart"/>
            <w:tcBorders>
              <w:top w:val="single" w:color="auto" w:sz="4" w:space="0"/>
              <w:left w:val="single" w:color="auto" w:sz="6" w:space="0"/>
              <w:right w:val="single" w:color="auto" w:sz="4" w:space="0"/>
            </w:tcBorders>
            <w:vAlign w:val="center"/>
          </w:tcPr>
          <w:p>
            <w:pPr>
              <w:pStyle w:val="52"/>
              <w:rPr>
                <w:szCs w:val="21"/>
              </w:rPr>
            </w:pPr>
            <w:r>
              <w:rPr>
                <w:kern w:val="0"/>
                <w:szCs w:val="21"/>
              </w:rPr>
              <w:t>外售废旧物资回收单位</w:t>
            </w:r>
          </w:p>
        </w:tc>
        <w:tc>
          <w:tcPr>
            <w:tcW w:w="596" w:type="pct"/>
            <w:tcBorders>
              <w:top w:val="single" w:color="auto" w:sz="4" w:space="0"/>
              <w:left w:val="single" w:color="auto" w:sz="6" w:space="0"/>
              <w:bottom w:val="single" w:color="auto" w:sz="4" w:space="0"/>
              <w:right w:val="single" w:color="auto" w:sz="4" w:space="0"/>
            </w:tcBorders>
            <w:vAlign w:val="center"/>
          </w:tcPr>
          <w:p>
            <w:pPr>
              <w:pStyle w:val="52"/>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机加工布袋除尘器</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收集粉尘</w:t>
            </w:r>
          </w:p>
        </w:tc>
        <w:tc>
          <w:tcPr>
            <w:tcW w:w="398" w:type="pct"/>
            <w:vMerge w:val="continue"/>
            <w:tcBorders>
              <w:left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5.521</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5.518</w:t>
            </w:r>
          </w:p>
        </w:tc>
        <w:tc>
          <w:tcPr>
            <w:tcW w:w="898" w:type="pct"/>
            <w:vMerge w:val="continue"/>
            <w:tcBorders>
              <w:left w:val="single" w:color="auto" w:sz="6" w:space="0"/>
              <w:right w:val="single" w:color="auto" w:sz="4" w:space="0"/>
            </w:tcBorders>
            <w:vAlign w:val="center"/>
          </w:tcPr>
          <w:p>
            <w:pPr>
              <w:pStyle w:val="52"/>
              <w:rPr>
                <w:szCs w:val="21"/>
              </w:rPr>
            </w:pPr>
          </w:p>
        </w:tc>
        <w:tc>
          <w:tcPr>
            <w:tcW w:w="596" w:type="pct"/>
            <w:tcBorders>
              <w:top w:val="single" w:color="auto" w:sz="4" w:space="0"/>
              <w:left w:val="single" w:color="auto" w:sz="6" w:space="0"/>
              <w:bottom w:val="single" w:color="auto" w:sz="4" w:space="0"/>
              <w:right w:val="single" w:color="auto" w:sz="4" w:space="0"/>
            </w:tcBorders>
            <w:vAlign w:val="center"/>
          </w:tcPr>
          <w:p>
            <w:pPr>
              <w:pStyle w:val="52"/>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喷粉布袋除尘器</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收集粉尘</w:t>
            </w:r>
          </w:p>
        </w:tc>
        <w:tc>
          <w:tcPr>
            <w:tcW w:w="398" w:type="pct"/>
            <w:vMerge w:val="continue"/>
            <w:tcBorders>
              <w:left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0.09</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0.09</w:t>
            </w:r>
          </w:p>
        </w:tc>
        <w:tc>
          <w:tcPr>
            <w:tcW w:w="898" w:type="pct"/>
            <w:vMerge w:val="continue"/>
            <w:tcBorders>
              <w:left w:val="single" w:color="auto" w:sz="6" w:space="0"/>
              <w:bottom w:val="single" w:color="auto" w:sz="4" w:space="0"/>
              <w:right w:val="single" w:color="auto" w:sz="4" w:space="0"/>
            </w:tcBorders>
            <w:vAlign w:val="center"/>
          </w:tcPr>
          <w:p>
            <w:pPr>
              <w:pStyle w:val="52"/>
              <w:rPr>
                <w:szCs w:val="21"/>
              </w:rPr>
            </w:pPr>
          </w:p>
        </w:tc>
        <w:tc>
          <w:tcPr>
            <w:tcW w:w="596" w:type="pct"/>
            <w:tcBorders>
              <w:top w:val="single" w:color="auto" w:sz="4" w:space="0"/>
              <w:left w:val="single" w:color="auto" w:sz="6" w:space="0"/>
              <w:bottom w:val="single" w:color="auto" w:sz="4" w:space="0"/>
              <w:right w:val="single" w:color="auto" w:sz="4" w:space="0"/>
            </w:tcBorders>
            <w:vAlign w:val="center"/>
          </w:tcPr>
          <w:p>
            <w:pPr>
              <w:pStyle w:val="52"/>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机加工</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废切削液</w:t>
            </w:r>
          </w:p>
        </w:tc>
        <w:tc>
          <w:tcPr>
            <w:tcW w:w="398" w:type="pct"/>
            <w:vMerge w:val="restart"/>
            <w:tcBorders>
              <w:left w:val="single" w:color="auto" w:sz="4" w:space="0"/>
              <w:right w:val="single" w:color="auto" w:sz="4" w:space="0"/>
            </w:tcBorders>
            <w:vAlign w:val="center"/>
          </w:tcPr>
          <w:p>
            <w:pPr>
              <w:pStyle w:val="52"/>
              <w:rPr>
                <w:szCs w:val="21"/>
              </w:rPr>
            </w:pPr>
            <w:r>
              <w:rPr>
                <w:szCs w:val="21"/>
              </w:rPr>
              <w:t>危险</w:t>
            </w:r>
          </w:p>
          <w:p>
            <w:pPr>
              <w:pStyle w:val="52"/>
              <w:rPr>
                <w:szCs w:val="21"/>
              </w:rPr>
            </w:pPr>
            <w:r>
              <w:rPr>
                <w:szCs w:val="21"/>
              </w:rPr>
              <w:t>废物</w:t>
            </w: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1</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1.02</w:t>
            </w:r>
          </w:p>
        </w:tc>
        <w:tc>
          <w:tcPr>
            <w:tcW w:w="898" w:type="pct"/>
            <w:vMerge w:val="restart"/>
            <w:tcBorders>
              <w:top w:val="single" w:color="auto" w:sz="4" w:space="0"/>
              <w:left w:val="single" w:color="auto" w:sz="6" w:space="0"/>
              <w:right w:val="single" w:color="auto" w:sz="4" w:space="0"/>
            </w:tcBorders>
            <w:vAlign w:val="center"/>
          </w:tcPr>
          <w:p>
            <w:pPr>
              <w:pStyle w:val="52"/>
              <w:rPr>
                <w:szCs w:val="21"/>
              </w:rPr>
            </w:pPr>
            <w:r>
              <w:rPr>
                <w:rFonts w:hint="eastAsia"/>
                <w:kern w:val="0"/>
                <w:szCs w:val="21"/>
              </w:rPr>
              <w:t>委托</w:t>
            </w:r>
            <w:r>
              <w:rPr>
                <w:kern w:val="0"/>
                <w:szCs w:val="21"/>
              </w:rPr>
              <w:t>有</w:t>
            </w:r>
            <w:r>
              <w:rPr>
                <w:rFonts w:hint="eastAsia"/>
                <w:kern w:val="0"/>
                <w:szCs w:val="21"/>
              </w:rPr>
              <w:t>危废处置</w:t>
            </w:r>
            <w:r>
              <w:rPr>
                <w:kern w:val="0"/>
                <w:szCs w:val="21"/>
              </w:rPr>
              <w:t>资质单位处置</w:t>
            </w:r>
          </w:p>
        </w:tc>
        <w:tc>
          <w:tcPr>
            <w:tcW w:w="596" w:type="pct"/>
            <w:vMerge w:val="restart"/>
            <w:tcBorders>
              <w:top w:val="single" w:color="auto" w:sz="4" w:space="0"/>
              <w:left w:val="single" w:color="auto" w:sz="6" w:space="0"/>
              <w:right w:val="single" w:color="auto" w:sz="4" w:space="0"/>
            </w:tcBorders>
            <w:vAlign w:val="center"/>
          </w:tcPr>
          <w:p>
            <w:pPr>
              <w:pStyle w:val="52"/>
              <w:rPr>
                <w:szCs w:val="21"/>
              </w:rPr>
            </w:pPr>
            <w:r>
              <w:rPr>
                <w:rFonts w:hint="eastAsia"/>
                <w:szCs w:val="21"/>
              </w:rPr>
              <w:t>暂未产生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rFonts w:hint="eastAsia"/>
                <w:kern w:val="0"/>
                <w:sz w:val="21"/>
                <w:szCs w:val="21"/>
              </w:rPr>
              <w:t>废切削液桶</w:t>
            </w:r>
          </w:p>
        </w:tc>
        <w:tc>
          <w:tcPr>
            <w:tcW w:w="398" w:type="pct"/>
            <w:vMerge w:val="continue"/>
            <w:tcBorders>
              <w:left w:val="single" w:color="auto" w:sz="4" w:space="0"/>
              <w:right w:val="single" w:color="auto" w:sz="4" w:space="0"/>
            </w:tcBorders>
            <w:vAlign w:val="center"/>
          </w:tcPr>
          <w:p>
            <w:pPr>
              <w:pStyle w:val="52"/>
              <w:rPr>
                <w:szCs w:val="21"/>
                <w:highlight w:val="red"/>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rFonts w:hint="eastAsia"/>
                <w:kern w:val="0"/>
                <w:sz w:val="21"/>
                <w:szCs w:val="21"/>
              </w:rPr>
              <w:t>0.05</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0.048</w:t>
            </w:r>
          </w:p>
        </w:tc>
        <w:tc>
          <w:tcPr>
            <w:tcW w:w="898" w:type="pct"/>
            <w:vMerge w:val="continue"/>
            <w:tcBorders>
              <w:left w:val="single" w:color="auto" w:sz="6" w:space="0"/>
              <w:right w:val="single" w:color="auto" w:sz="4" w:space="0"/>
            </w:tcBorders>
            <w:vAlign w:val="center"/>
          </w:tcPr>
          <w:p>
            <w:pPr>
              <w:pStyle w:val="52"/>
              <w:rPr>
                <w:szCs w:val="21"/>
                <w:highlight w:val="red"/>
              </w:rPr>
            </w:pPr>
          </w:p>
        </w:tc>
        <w:tc>
          <w:tcPr>
            <w:tcW w:w="596" w:type="pct"/>
            <w:vMerge w:val="continue"/>
            <w:tcBorders>
              <w:left w:val="single" w:color="auto" w:sz="6" w:space="0"/>
              <w:right w:val="single" w:color="auto" w:sz="4" w:space="0"/>
            </w:tcBorders>
            <w:vAlign w:val="center"/>
          </w:tcPr>
          <w:p>
            <w:pPr>
              <w:pStyle w:val="52"/>
              <w:rPr>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kern w:val="0"/>
                <w:sz w:val="21"/>
                <w:szCs w:val="21"/>
              </w:rPr>
              <w:t>日常设备保养</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kern w:val="0"/>
                <w:sz w:val="21"/>
                <w:szCs w:val="21"/>
              </w:rPr>
              <w:t>废</w:t>
            </w:r>
            <w:r>
              <w:rPr>
                <w:rFonts w:hint="eastAsia"/>
                <w:kern w:val="0"/>
                <w:sz w:val="21"/>
                <w:szCs w:val="21"/>
              </w:rPr>
              <w:t>机</w:t>
            </w:r>
            <w:r>
              <w:rPr>
                <w:kern w:val="0"/>
                <w:sz w:val="21"/>
                <w:szCs w:val="21"/>
              </w:rPr>
              <w:t>油及桶</w:t>
            </w:r>
          </w:p>
        </w:tc>
        <w:tc>
          <w:tcPr>
            <w:tcW w:w="398" w:type="pct"/>
            <w:vMerge w:val="continue"/>
            <w:tcBorders>
              <w:left w:val="single" w:color="auto" w:sz="4" w:space="0"/>
              <w:right w:val="single" w:color="auto" w:sz="4" w:space="0"/>
            </w:tcBorders>
            <w:vAlign w:val="center"/>
          </w:tcPr>
          <w:p>
            <w:pPr>
              <w:pStyle w:val="52"/>
              <w:rPr>
                <w:szCs w:val="21"/>
                <w:highlight w:val="red"/>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kern w:val="0"/>
                <w:sz w:val="21"/>
                <w:szCs w:val="21"/>
              </w:rPr>
              <w:t>0.</w:t>
            </w:r>
            <w:r>
              <w:rPr>
                <w:rFonts w:hint="eastAsia"/>
                <w:kern w:val="0"/>
                <w:sz w:val="21"/>
                <w:szCs w:val="21"/>
              </w:rPr>
              <w:t>66</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0.65</w:t>
            </w:r>
            <w:r>
              <w:rPr>
                <w:szCs w:val="21"/>
              </w:rPr>
              <w:t>t/a</w:t>
            </w:r>
          </w:p>
        </w:tc>
        <w:tc>
          <w:tcPr>
            <w:tcW w:w="898" w:type="pct"/>
            <w:vMerge w:val="continue"/>
            <w:tcBorders>
              <w:left w:val="single" w:color="auto" w:sz="6" w:space="0"/>
              <w:right w:val="single" w:color="auto" w:sz="4" w:space="0"/>
            </w:tcBorders>
            <w:vAlign w:val="center"/>
          </w:tcPr>
          <w:p>
            <w:pPr>
              <w:pStyle w:val="52"/>
              <w:rPr>
                <w:szCs w:val="21"/>
                <w:highlight w:val="red"/>
              </w:rPr>
            </w:pPr>
          </w:p>
        </w:tc>
        <w:tc>
          <w:tcPr>
            <w:tcW w:w="596" w:type="pct"/>
            <w:vMerge w:val="continue"/>
            <w:tcBorders>
              <w:left w:val="single" w:color="auto" w:sz="6" w:space="0"/>
              <w:right w:val="single" w:color="auto" w:sz="4" w:space="0"/>
            </w:tcBorders>
            <w:vAlign w:val="center"/>
          </w:tcPr>
          <w:p>
            <w:pPr>
              <w:pStyle w:val="52"/>
              <w:rPr>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rFonts w:hint="eastAsia"/>
                <w:kern w:val="0"/>
                <w:sz w:val="21"/>
                <w:szCs w:val="21"/>
              </w:rPr>
              <w:t>废气治理</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rFonts w:hint="eastAsia"/>
                <w:kern w:val="0"/>
                <w:sz w:val="21"/>
                <w:szCs w:val="21"/>
              </w:rPr>
              <w:t>废过滤纸</w:t>
            </w:r>
          </w:p>
        </w:tc>
        <w:tc>
          <w:tcPr>
            <w:tcW w:w="398" w:type="pct"/>
            <w:vMerge w:val="continue"/>
            <w:tcBorders>
              <w:left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0.97</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0.97</w:t>
            </w:r>
          </w:p>
        </w:tc>
        <w:tc>
          <w:tcPr>
            <w:tcW w:w="898" w:type="pct"/>
            <w:vMerge w:val="continue"/>
            <w:tcBorders>
              <w:left w:val="single" w:color="auto" w:sz="6" w:space="0"/>
              <w:right w:val="single" w:color="auto" w:sz="4" w:space="0"/>
            </w:tcBorders>
            <w:vAlign w:val="center"/>
          </w:tcPr>
          <w:p>
            <w:pPr>
              <w:pStyle w:val="52"/>
              <w:rPr>
                <w:szCs w:val="21"/>
                <w:highlight w:val="red"/>
              </w:rPr>
            </w:pPr>
          </w:p>
        </w:tc>
        <w:tc>
          <w:tcPr>
            <w:tcW w:w="596" w:type="pct"/>
            <w:vMerge w:val="continue"/>
            <w:tcBorders>
              <w:left w:val="single" w:color="auto" w:sz="6" w:space="0"/>
              <w:right w:val="single" w:color="auto" w:sz="4" w:space="0"/>
            </w:tcBorders>
            <w:vAlign w:val="center"/>
          </w:tcPr>
          <w:p>
            <w:pPr>
              <w:pStyle w:val="52"/>
              <w:rPr>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tcBorders>
              <w:top w:val="single" w:color="auto" w:sz="4" w:space="0"/>
              <w:left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kern w:val="0"/>
                <w:sz w:val="21"/>
                <w:szCs w:val="21"/>
              </w:rPr>
              <w:t>废活性炭</w:t>
            </w:r>
          </w:p>
        </w:tc>
        <w:tc>
          <w:tcPr>
            <w:tcW w:w="398" w:type="pct"/>
            <w:vMerge w:val="continue"/>
            <w:tcBorders>
              <w:left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rFonts w:hint="eastAsia"/>
                <w:kern w:val="0"/>
                <w:sz w:val="21"/>
                <w:szCs w:val="21"/>
              </w:rPr>
              <w:t>1.0</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1.0</w:t>
            </w:r>
          </w:p>
        </w:tc>
        <w:tc>
          <w:tcPr>
            <w:tcW w:w="898" w:type="pct"/>
            <w:vMerge w:val="continue"/>
            <w:tcBorders>
              <w:left w:val="single" w:color="auto" w:sz="6" w:space="0"/>
              <w:right w:val="single" w:color="auto" w:sz="4" w:space="0"/>
            </w:tcBorders>
            <w:vAlign w:val="center"/>
          </w:tcPr>
          <w:p>
            <w:pPr>
              <w:pStyle w:val="52"/>
              <w:rPr>
                <w:szCs w:val="21"/>
                <w:highlight w:val="red"/>
              </w:rPr>
            </w:pPr>
          </w:p>
        </w:tc>
        <w:tc>
          <w:tcPr>
            <w:tcW w:w="596" w:type="pct"/>
            <w:vMerge w:val="continue"/>
            <w:tcBorders>
              <w:left w:val="single" w:color="auto" w:sz="6" w:space="0"/>
              <w:right w:val="single" w:color="auto" w:sz="4" w:space="0"/>
            </w:tcBorders>
            <w:vAlign w:val="center"/>
          </w:tcPr>
          <w:p>
            <w:pPr>
              <w:pStyle w:val="52"/>
              <w:rPr>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p>
        </w:tc>
        <w:tc>
          <w:tcPr>
            <w:tcW w:w="110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highlight w:val="red"/>
              </w:rPr>
            </w:pPr>
            <w:r>
              <w:rPr>
                <w:kern w:val="0"/>
                <w:sz w:val="21"/>
                <w:szCs w:val="21"/>
              </w:rPr>
              <w:t>废催化剂</w:t>
            </w:r>
          </w:p>
        </w:tc>
        <w:tc>
          <w:tcPr>
            <w:tcW w:w="398" w:type="pct"/>
            <w:vMerge w:val="continue"/>
            <w:tcBorders>
              <w:left w:val="single" w:color="auto" w:sz="4" w:space="0"/>
              <w:bottom w:val="single" w:color="auto" w:sz="4" w:space="0"/>
              <w:right w:val="single" w:color="auto" w:sz="4" w:space="0"/>
            </w:tcBorders>
            <w:vAlign w:val="center"/>
          </w:tcPr>
          <w:p>
            <w:pPr>
              <w:pStyle w:val="52"/>
              <w:rPr>
                <w:szCs w:val="21"/>
              </w:rPr>
            </w:pPr>
          </w:p>
        </w:tc>
        <w:tc>
          <w:tcPr>
            <w:tcW w:w="580" w:type="pct"/>
            <w:tcBorders>
              <w:top w:val="single" w:color="auto" w:sz="4" w:space="0"/>
              <w:left w:val="single" w:color="auto" w:sz="6" w:space="0"/>
              <w:bottom w:val="single" w:color="auto" w:sz="4" w:space="0"/>
              <w:right w:val="single" w:color="auto" w:sz="4" w:space="0"/>
            </w:tcBorders>
            <w:vAlign w:val="center"/>
          </w:tcPr>
          <w:p>
            <w:pPr>
              <w:widowControl/>
              <w:snapToGrid w:val="0"/>
              <w:spacing w:line="240" w:lineRule="auto"/>
              <w:ind w:firstLine="0" w:firstLineChars="0"/>
              <w:jc w:val="center"/>
              <w:rPr>
                <w:sz w:val="21"/>
                <w:szCs w:val="21"/>
              </w:rPr>
            </w:pPr>
            <w:r>
              <w:rPr>
                <w:kern w:val="0"/>
                <w:sz w:val="21"/>
                <w:szCs w:val="21"/>
              </w:rPr>
              <w:t>0.5</w:t>
            </w:r>
          </w:p>
        </w:tc>
        <w:tc>
          <w:tcPr>
            <w:tcW w:w="830" w:type="pct"/>
            <w:tcBorders>
              <w:top w:val="single" w:color="auto" w:sz="4" w:space="0"/>
              <w:left w:val="single" w:color="auto" w:sz="6" w:space="0"/>
              <w:bottom w:val="single" w:color="auto" w:sz="4" w:space="0"/>
              <w:right w:val="single" w:color="auto" w:sz="4" w:space="0"/>
            </w:tcBorders>
            <w:vAlign w:val="center"/>
          </w:tcPr>
          <w:p>
            <w:pPr>
              <w:pStyle w:val="52"/>
              <w:rPr>
                <w:szCs w:val="21"/>
              </w:rPr>
            </w:pPr>
            <w:r>
              <w:rPr>
                <w:rFonts w:hint="eastAsia"/>
                <w:szCs w:val="21"/>
              </w:rPr>
              <w:t>0.5</w:t>
            </w:r>
          </w:p>
        </w:tc>
        <w:tc>
          <w:tcPr>
            <w:tcW w:w="898" w:type="pct"/>
            <w:vMerge w:val="continue"/>
            <w:tcBorders>
              <w:left w:val="single" w:color="auto" w:sz="6" w:space="0"/>
              <w:bottom w:val="single" w:color="auto" w:sz="4" w:space="0"/>
              <w:right w:val="single" w:color="auto" w:sz="4" w:space="0"/>
            </w:tcBorders>
            <w:vAlign w:val="center"/>
          </w:tcPr>
          <w:p>
            <w:pPr>
              <w:pStyle w:val="52"/>
              <w:rPr>
                <w:szCs w:val="21"/>
                <w:highlight w:val="red"/>
              </w:rPr>
            </w:pPr>
          </w:p>
        </w:tc>
        <w:tc>
          <w:tcPr>
            <w:tcW w:w="596" w:type="pct"/>
            <w:vMerge w:val="continue"/>
            <w:tcBorders>
              <w:left w:val="single" w:color="auto" w:sz="6" w:space="0"/>
              <w:bottom w:val="single" w:color="auto" w:sz="4" w:space="0"/>
              <w:right w:val="single" w:color="auto" w:sz="4" w:space="0"/>
            </w:tcBorders>
            <w:vAlign w:val="center"/>
          </w:tcPr>
          <w:p>
            <w:pPr>
              <w:pStyle w:val="52"/>
              <w:rPr>
                <w:szCs w:val="21"/>
                <w:highlight w:val="red"/>
              </w:rPr>
            </w:pPr>
          </w:p>
        </w:tc>
      </w:tr>
    </w:tbl>
    <w:p>
      <w:pPr>
        <w:ind w:firstLine="480"/>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6"/>
        <w:gridCol w:w="4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8" w:type="dxa"/>
          </w:tcPr>
          <w:p>
            <w:pPr>
              <w:pStyle w:val="44"/>
              <w:rPr>
                <w:color w:val="FF0000"/>
              </w:rPr>
            </w:pPr>
            <w:r>
              <w:rPr>
                <w:rFonts w:hint="eastAsia"/>
                <w:color w:val="FF0000"/>
              </w:rPr>
              <w:drawing>
                <wp:inline distT="0" distB="0" distL="114300" distR="114300">
                  <wp:extent cx="2940685" cy="4279900"/>
                  <wp:effectExtent l="0" t="0" r="12065" b="6350"/>
                  <wp:docPr id="25" name="图片 25" descr="a2ebfa25a1abd61dcb74b2e73d4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2ebfa25a1abd61dcb74b2e73d41051"/>
                          <pic:cNvPicPr>
                            <a:picLocks noChangeAspect="1"/>
                          </pic:cNvPicPr>
                        </pic:nvPicPr>
                        <pic:blipFill>
                          <a:blip r:embed="rId31"/>
                          <a:stretch>
                            <a:fillRect/>
                          </a:stretch>
                        </pic:blipFill>
                        <pic:spPr>
                          <a:xfrm>
                            <a:off x="0" y="0"/>
                            <a:ext cx="2940685" cy="4279900"/>
                          </a:xfrm>
                          <a:prstGeom prst="rect">
                            <a:avLst/>
                          </a:prstGeom>
                        </pic:spPr>
                      </pic:pic>
                    </a:graphicData>
                  </a:graphic>
                </wp:inline>
              </w:drawing>
            </w:r>
          </w:p>
        </w:tc>
        <w:tc>
          <w:tcPr>
            <w:tcW w:w="4559" w:type="dxa"/>
          </w:tcPr>
          <w:p>
            <w:pPr>
              <w:pStyle w:val="44"/>
              <w:rPr>
                <w:color w:val="FF0000"/>
              </w:rPr>
            </w:pPr>
            <w:r>
              <w:rPr>
                <w:color w:val="FF0000"/>
              </w:rPr>
              <w:drawing>
                <wp:inline distT="0" distB="0" distL="114300" distR="114300">
                  <wp:extent cx="2746375" cy="1878330"/>
                  <wp:effectExtent l="0" t="0" r="0" b="0"/>
                  <wp:docPr id="84" name="图片 174" descr="危废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4" descr="危废间 (2)"/>
                          <pic:cNvPicPr>
                            <a:picLocks noChangeAspect="1"/>
                          </pic:cNvPicPr>
                        </pic:nvPicPr>
                        <pic:blipFill>
                          <a:blip r:embed="rId32"/>
                          <a:srcRect b="8844"/>
                          <a:stretch>
                            <a:fillRect/>
                          </a:stretch>
                        </pic:blipFill>
                        <pic:spPr>
                          <a:xfrm>
                            <a:off x="0" y="0"/>
                            <a:ext cx="2746375" cy="1878330"/>
                          </a:xfrm>
                          <a:prstGeom prst="rect">
                            <a:avLst/>
                          </a:prstGeom>
                          <a:noFill/>
                          <a:ln>
                            <a:noFill/>
                          </a:ln>
                        </pic:spPr>
                      </pic:pic>
                    </a:graphicData>
                  </a:graphic>
                </wp:inline>
              </w:drawing>
            </w:r>
            <w:r>
              <w:rPr>
                <w:color w:val="FF0000"/>
              </w:rPr>
              <w:drawing>
                <wp:inline distT="0" distB="0" distL="114300" distR="114300">
                  <wp:extent cx="2746375" cy="2060575"/>
                  <wp:effectExtent l="0" t="0" r="15875" b="15875"/>
                  <wp:docPr id="85" name="图片 175" descr="危废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5" descr="危废间 (1)"/>
                          <pic:cNvPicPr>
                            <a:picLocks noChangeAspect="1"/>
                          </pic:cNvPicPr>
                        </pic:nvPicPr>
                        <pic:blipFill>
                          <a:blip r:embed="rId33"/>
                          <a:stretch>
                            <a:fillRect/>
                          </a:stretch>
                        </pic:blipFill>
                        <pic:spPr>
                          <a:xfrm>
                            <a:off x="0" y="0"/>
                            <a:ext cx="2746375" cy="2060575"/>
                          </a:xfrm>
                          <a:prstGeom prst="rect">
                            <a:avLst/>
                          </a:prstGeom>
                          <a:noFill/>
                          <a:ln>
                            <a:noFill/>
                          </a:ln>
                        </pic:spPr>
                      </pic:pic>
                    </a:graphicData>
                  </a:graphic>
                </wp:inline>
              </w:drawing>
            </w:r>
          </w:p>
        </w:tc>
      </w:tr>
    </w:tbl>
    <w:p>
      <w:pPr>
        <w:pStyle w:val="48"/>
      </w:pPr>
      <w:r>
        <w:t>图4.1-</w:t>
      </w:r>
      <w:r>
        <w:rPr>
          <w:rFonts w:hint="eastAsia"/>
        </w:rPr>
        <w:t>3</w:t>
      </w:r>
      <w:r>
        <w:t>危废暂存库</w:t>
      </w:r>
    </w:p>
    <w:p>
      <w:pPr>
        <w:pStyle w:val="4"/>
      </w:pPr>
      <w:bookmarkStart w:id="490" w:name="_Toc26604_WPSOffice_Level2"/>
      <w:bookmarkStart w:id="491" w:name="_Toc32243"/>
      <w:bookmarkStart w:id="492" w:name="_Toc12366"/>
      <w:bookmarkStart w:id="493" w:name="_Toc18738"/>
      <w:bookmarkStart w:id="494" w:name="_Toc22724_WPSOffice_Level2"/>
      <w:bookmarkStart w:id="495" w:name="_Toc3114"/>
      <w:bookmarkStart w:id="496" w:name="_Toc9923"/>
      <w:bookmarkStart w:id="497" w:name="_Toc804"/>
      <w:bookmarkStart w:id="498" w:name="_Toc28053_WPSOffice_Level2"/>
      <w:bookmarkStart w:id="499" w:name="_Toc22580_WPSOffice_Level2"/>
      <w:r>
        <w:t>4.2其他环保设施</w:t>
      </w:r>
      <w:bookmarkEnd w:id="490"/>
      <w:bookmarkEnd w:id="491"/>
      <w:bookmarkEnd w:id="492"/>
      <w:bookmarkEnd w:id="493"/>
      <w:bookmarkEnd w:id="494"/>
      <w:bookmarkEnd w:id="495"/>
      <w:bookmarkEnd w:id="496"/>
      <w:bookmarkEnd w:id="497"/>
      <w:bookmarkEnd w:id="498"/>
      <w:bookmarkEnd w:id="499"/>
    </w:p>
    <w:p>
      <w:pPr>
        <w:pStyle w:val="5"/>
      </w:pPr>
      <w:bookmarkStart w:id="500" w:name="_Toc6041_WPSOffice_Level3"/>
      <w:r>
        <w:t>4.2.1环境风险防范设施</w:t>
      </w:r>
      <w:bookmarkEnd w:id="500"/>
    </w:p>
    <w:p>
      <w:pPr>
        <w:numPr>
          <w:ilvl w:val="0"/>
          <w:numId w:val="4"/>
        </w:numPr>
        <w:ind w:firstLine="480"/>
      </w:pPr>
      <w:r>
        <w:t>风险防范措施</w:t>
      </w:r>
    </w:p>
    <w:p>
      <w:pPr>
        <w:ind w:firstLine="480"/>
      </w:pPr>
      <w:r>
        <w:rPr>
          <w:rFonts w:hint="eastAsia"/>
        </w:rPr>
        <w:t>①</w:t>
      </w:r>
      <w:r>
        <w:t>危险废物暂存间严格落实防渗措施，保证阴凉通风，远离火种、热源。库温不超过32℃，相对湿度不超过80%，切忌与其他易燃物混储。采用防爆型照明、通风设施。</w:t>
      </w:r>
    </w:p>
    <w:p>
      <w:pPr>
        <w:ind w:firstLine="480"/>
      </w:pPr>
      <w:r>
        <w:rPr>
          <w:rFonts w:hint="eastAsia"/>
        </w:rPr>
        <w:t>②</w:t>
      </w:r>
      <w:r>
        <w:t>定期检修设备，加强泄漏检验以消除设备内</w:t>
      </w:r>
      <w:r>
        <w:rPr>
          <w:rFonts w:hint="eastAsia"/>
        </w:rPr>
        <w:t>机</w:t>
      </w:r>
      <w:r>
        <w:t>油的滴漏，尽可能采用机械化自动化先进技术，以隔绝毒物与操作人员的接触。</w:t>
      </w:r>
    </w:p>
    <w:p>
      <w:pPr>
        <w:ind w:firstLine="480"/>
      </w:pPr>
      <w:r>
        <w:rPr>
          <w:rFonts w:hint="eastAsia"/>
        </w:rPr>
        <w:t>③</w:t>
      </w:r>
      <w:r>
        <w:t>电气设备检修，应清除电气设备内的尘土及异物，严禁带电作业。</w:t>
      </w:r>
    </w:p>
    <w:p>
      <w:pPr>
        <w:ind w:firstLine="480"/>
      </w:pPr>
      <w:r>
        <w:rPr>
          <w:rFonts w:hint="eastAsia"/>
        </w:rPr>
        <w:t>④</w:t>
      </w:r>
      <w:r>
        <w:t>灭火设施：厂区内应按照规范要求备足灭火器材及消防灭火沙等用品。消防器材要做到“三保证”，即一保证数量充足，二保证种类齐全，三保证使用有效。</w:t>
      </w:r>
    </w:p>
    <w:p>
      <w:pPr>
        <w:ind w:firstLine="480"/>
      </w:pPr>
      <w:r>
        <w:rPr>
          <w:rFonts w:hint="eastAsia"/>
        </w:rPr>
        <w:t>⑤</w:t>
      </w:r>
      <w:r>
        <w:t>加大培训力度，提高员工素质，增加安全意识：高素质的员工对待安全的问题时能充分发挥主观能动性，为企业的发展提供保障。所以，应该注重对员工</w:t>
      </w:r>
      <w:r>
        <w:rPr>
          <w:rFonts w:hint="eastAsia"/>
        </w:rPr>
        <w:t>的培训和学习，开展安全教育和消防演练，使员工熟练掌握各种消防器材的使用方法和基本灭火技能，牢固树立“安全第一、预防为主”的意识，自觉遵守规章制度，从而避免由于人为因素而引发的火灾。</w:t>
      </w:r>
    </w:p>
    <w:p>
      <w:pPr>
        <w:ind w:firstLine="480"/>
      </w:pPr>
      <w:r>
        <w:t>2、雨污分流</w:t>
      </w:r>
    </w:p>
    <w:p>
      <w:pPr>
        <w:ind w:firstLine="480"/>
      </w:pPr>
      <w:r>
        <w:t>厂区排水采用“雨污分流制”，建筑物屋面为有组织排水，屋面雨水经</w:t>
      </w:r>
      <w:r>
        <w:rPr>
          <w:rFonts w:hint="eastAsia"/>
        </w:rPr>
        <w:t>雨</w:t>
      </w:r>
      <w:r>
        <w:t>水管排至城镇雨水管网。</w:t>
      </w:r>
    </w:p>
    <w:p>
      <w:pPr>
        <w:ind w:firstLine="480"/>
      </w:pPr>
      <w:r>
        <w:rPr>
          <w:rFonts w:hint="eastAsia"/>
        </w:rPr>
        <w:t>3</w:t>
      </w:r>
      <w:r>
        <w:t>、突发环境事件应急预案</w:t>
      </w:r>
    </w:p>
    <w:p>
      <w:pPr>
        <w:ind w:firstLine="480"/>
      </w:pPr>
      <w:r>
        <w:t>为了规范和加强公司应对突发环境事件，进一步建立健全和完善应急预案体系，针对生产实际，编制了突发环境事件应急预案，并报送枣庄市生态环境局峄城分局备案(备案编号：</w:t>
      </w:r>
      <w:r>
        <w:rPr>
          <w:rFonts w:hint="eastAsia"/>
        </w:rPr>
        <w:t>370404-2022-62-L</w:t>
      </w:r>
      <w:r>
        <w:t>)。并对突发环境事件应急预案进行了培训和现场演练。</w:t>
      </w:r>
    </w:p>
    <w:p>
      <w:pPr>
        <w:pStyle w:val="5"/>
      </w:pPr>
      <w:r>
        <w:t>4.2.2规范化排污口</w:t>
      </w:r>
    </w:p>
    <w:p>
      <w:pPr>
        <w:ind w:firstLine="480"/>
      </w:pPr>
      <w:r>
        <w:t>本项目按照规范建设了废气排放口、监测平台和监测口</w:t>
      </w:r>
      <w:bookmarkStart w:id="501" w:name="_Toc16005_WPSOffice_Level2"/>
      <w:bookmarkStart w:id="502" w:name="_Toc4237"/>
      <w:bookmarkStart w:id="503" w:name="_Toc16280"/>
      <w:bookmarkStart w:id="504" w:name="_Toc1682"/>
      <w:bookmarkStart w:id="505" w:name="_Toc27658"/>
      <w:bookmarkStart w:id="506" w:name="_Toc26965"/>
      <w:bookmarkStart w:id="507" w:name="_Toc24881_WPSOffice_Level2"/>
      <w:bookmarkStart w:id="508" w:name="_Toc15106_WPSOffice_Level2"/>
      <w:bookmarkStart w:id="509" w:name="_Toc9377_WPSOffice_Level2"/>
      <w:bookmarkStart w:id="510" w:name="_Toc18462"/>
      <w:bookmarkStart w:id="511" w:name="_Toc15957"/>
      <w:bookmarkStart w:id="512" w:name="_Toc11058"/>
      <w:bookmarkStart w:id="513" w:name="_Toc3356"/>
      <w:bookmarkStart w:id="514" w:name="_Toc7513"/>
      <w:bookmarkStart w:id="515" w:name="_Toc7924"/>
      <w:bookmarkStart w:id="516" w:name="_Toc6611"/>
      <w:bookmarkStart w:id="517" w:name="_Toc4392"/>
      <w:bookmarkStart w:id="518" w:name="_Toc29884_WPSOffice_Level2"/>
      <w:r>
        <w:t>。</w:t>
      </w:r>
    </w:p>
    <w:p>
      <w:pPr>
        <w:pStyle w:val="4"/>
      </w:pPr>
      <w:bookmarkStart w:id="519" w:name="_Toc5818"/>
      <w:bookmarkStart w:id="520" w:name="_Toc6272"/>
      <w:bookmarkStart w:id="521" w:name="_Toc6821"/>
      <w:r>
        <w:t>4.3 环保设施投资及</w:t>
      </w:r>
      <w:r>
        <w:rPr>
          <w:rFonts w:hint="eastAsia"/>
        </w:rPr>
        <w:t>“三同时”</w:t>
      </w:r>
      <w:r>
        <w:t>落实情况</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ind w:right="-97" w:firstLine="710" w:firstLineChars="296"/>
        <w:rPr>
          <w:kern w:val="0"/>
        </w:rPr>
      </w:pPr>
      <w:r>
        <w:rPr>
          <w:kern w:val="0"/>
        </w:rPr>
        <w:t>本次验收项目按照《</w:t>
      </w:r>
      <w:r>
        <w:rPr>
          <w:rFonts w:hint="eastAsia"/>
          <w:kern w:val="0"/>
        </w:rPr>
        <w:t>山东德勤智能设备有限公司智能木业机械设备制造项目</w:t>
      </w:r>
      <w:r>
        <w:rPr>
          <w:kern w:val="0"/>
        </w:rPr>
        <w:t>环境影响报告表》的有关要求和环评批复的要求，落实了相关环保设施，在工程建设过程中，加强废水、废气、固废的管理；主要噪声源采取了隔音、减震等污染防治措施，达到了预期的效果。</w:t>
      </w:r>
    </w:p>
    <w:p>
      <w:pPr>
        <w:ind w:right="-97" w:firstLine="470" w:firstLineChars="196"/>
        <w:rPr>
          <w:kern w:val="0"/>
        </w:rPr>
      </w:pPr>
      <w:r>
        <w:rPr>
          <w:kern w:val="0"/>
        </w:rPr>
        <w:t>环保投资一览表见表4.3-1、具体环保设施落实情况见表4.3-2。</w:t>
      </w:r>
    </w:p>
    <w:p>
      <w:pPr>
        <w:pStyle w:val="48"/>
      </w:pPr>
      <w:bookmarkStart w:id="522" w:name="_Toc4968_WPSOffice_Level3"/>
      <w:bookmarkStart w:id="523" w:name="_Toc29464_WPSOffice_Level3"/>
      <w:r>
        <w:t>表4.3-1 环保投资一览表</w:t>
      </w:r>
      <w:bookmarkEnd w:id="522"/>
      <w:bookmarkEnd w:id="523"/>
    </w:p>
    <w:tbl>
      <w:tblPr>
        <w:tblStyle w:val="34"/>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8"/>
        <w:gridCol w:w="1357"/>
        <w:gridCol w:w="5058"/>
        <w:gridCol w:w="22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序号</w:t>
            </w:r>
          </w:p>
        </w:tc>
        <w:tc>
          <w:tcPr>
            <w:tcW w:w="3333" w:type="pct"/>
            <w:gridSpan w:val="2"/>
            <w:vAlign w:val="center"/>
          </w:tcPr>
          <w:p>
            <w:pPr>
              <w:pStyle w:val="44"/>
            </w:pPr>
            <w:r>
              <w:t>环  保  设  施</w:t>
            </w:r>
          </w:p>
        </w:tc>
        <w:tc>
          <w:tcPr>
            <w:tcW w:w="1193" w:type="pct"/>
            <w:vAlign w:val="center"/>
          </w:tcPr>
          <w:p>
            <w:pPr>
              <w:pStyle w:val="44"/>
            </w:pPr>
            <w:r>
              <w:t>费用（万元）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1</w:t>
            </w:r>
          </w:p>
        </w:tc>
        <w:tc>
          <w:tcPr>
            <w:tcW w:w="705" w:type="pct"/>
            <w:tcBorders>
              <w:right w:val="single" w:color="auto" w:sz="4" w:space="0"/>
            </w:tcBorders>
            <w:vAlign w:val="center"/>
          </w:tcPr>
          <w:p>
            <w:pPr>
              <w:pStyle w:val="44"/>
            </w:pPr>
            <w:r>
              <w:rPr>
                <w:szCs w:val="21"/>
              </w:rPr>
              <w:t>废水</w:t>
            </w:r>
          </w:p>
        </w:tc>
        <w:tc>
          <w:tcPr>
            <w:tcW w:w="2628" w:type="pct"/>
            <w:tcBorders>
              <w:left w:val="single" w:color="auto" w:sz="4" w:space="0"/>
            </w:tcBorders>
            <w:vAlign w:val="center"/>
          </w:tcPr>
          <w:p>
            <w:pPr>
              <w:pStyle w:val="44"/>
            </w:pPr>
            <w:r>
              <w:rPr>
                <w:szCs w:val="21"/>
              </w:rPr>
              <w:t>雨污管网、化粪池</w:t>
            </w:r>
          </w:p>
        </w:tc>
        <w:tc>
          <w:tcPr>
            <w:tcW w:w="1193" w:type="pct"/>
            <w:vAlign w:val="center"/>
          </w:tcPr>
          <w:p>
            <w:pPr>
              <w:pStyle w:val="44"/>
            </w:pPr>
            <w:r>
              <w:rPr>
                <w:rFonts w:hint="eastAsia"/>
              </w:rPr>
              <w:t>12.4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2</w:t>
            </w:r>
          </w:p>
        </w:tc>
        <w:tc>
          <w:tcPr>
            <w:tcW w:w="705" w:type="pct"/>
            <w:tcBorders>
              <w:right w:val="single" w:color="auto" w:sz="4" w:space="0"/>
            </w:tcBorders>
            <w:vAlign w:val="center"/>
          </w:tcPr>
          <w:p>
            <w:pPr>
              <w:pStyle w:val="44"/>
            </w:pPr>
            <w:r>
              <w:rPr>
                <w:szCs w:val="21"/>
              </w:rPr>
              <w:t>废气</w:t>
            </w:r>
          </w:p>
        </w:tc>
        <w:tc>
          <w:tcPr>
            <w:tcW w:w="2628" w:type="pct"/>
            <w:tcBorders>
              <w:left w:val="single" w:color="auto" w:sz="4" w:space="0"/>
            </w:tcBorders>
            <w:vAlign w:val="center"/>
          </w:tcPr>
          <w:p>
            <w:pPr>
              <w:pStyle w:val="44"/>
            </w:pPr>
            <w:r>
              <w:t>排气筒、废气收集管道、</w:t>
            </w:r>
            <w:r>
              <w:rPr>
                <w:bCs w:val="0"/>
                <w:szCs w:val="21"/>
              </w:rPr>
              <w:t>粉尘回收装置、集气罩、</w:t>
            </w:r>
            <w:r>
              <w:rPr>
                <w:rFonts w:hint="eastAsia"/>
                <w:bCs w:val="0"/>
                <w:szCs w:val="21"/>
              </w:rPr>
              <w:t>干式过滤、活性炭吸附、</w:t>
            </w:r>
            <w:r>
              <w:rPr>
                <w:bCs w:val="0"/>
                <w:szCs w:val="21"/>
              </w:rPr>
              <w:t>催化燃烧</w:t>
            </w:r>
          </w:p>
        </w:tc>
        <w:tc>
          <w:tcPr>
            <w:tcW w:w="1193" w:type="pct"/>
            <w:vAlign w:val="center"/>
          </w:tcPr>
          <w:p>
            <w:pPr>
              <w:pStyle w:val="44"/>
            </w:pPr>
            <w:r>
              <w:rPr>
                <w:rFonts w:hint="eastAsia"/>
              </w:rPr>
              <w:t>70.3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3</w:t>
            </w:r>
          </w:p>
        </w:tc>
        <w:tc>
          <w:tcPr>
            <w:tcW w:w="705" w:type="pct"/>
            <w:tcBorders>
              <w:right w:val="single" w:color="auto" w:sz="4" w:space="0"/>
            </w:tcBorders>
            <w:vAlign w:val="center"/>
          </w:tcPr>
          <w:p>
            <w:pPr>
              <w:pStyle w:val="44"/>
            </w:pPr>
            <w:r>
              <w:rPr>
                <w:szCs w:val="21"/>
              </w:rPr>
              <w:t>固废</w:t>
            </w:r>
          </w:p>
        </w:tc>
        <w:tc>
          <w:tcPr>
            <w:tcW w:w="2628" w:type="pct"/>
            <w:tcBorders>
              <w:left w:val="single" w:color="auto" w:sz="4" w:space="0"/>
            </w:tcBorders>
            <w:vAlign w:val="center"/>
          </w:tcPr>
          <w:p>
            <w:pPr>
              <w:pStyle w:val="44"/>
            </w:pPr>
            <w:r>
              <w:rPr>
                <w:bCs w:val="0"/>
                <w:szCs w:val="21"/>
              </w:rPr>
              <w:t>一般固废暂存处，危废间</w:t>
            </w:r>
          </w:p>
        </w:tc>
        <w:tc>
          <w:tcPr>
            <w:tcW w:w="1193" w:type="pct"/>
            <w:vAlign w:val="center"/>
          </w:tcPr>
          <w:p>
            <w:pPr>
              <w:pStyle w:val="44"/>
            </w:pPr>
            <w:r>
              <w:rPr>
                <w:rFonts w:hint="eastAsia"/>
              </w:rPr>
              <w:t>4.86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4</w:t>
            </w:r>
          </w:p>
        </w:tc>
        <w:tc>
          <w:tcPr>
            <w:tcW w:w="705" w:type="pct"/>
            <w:tcBorders>
              <w:right w:val="single" w:color="auto" w:sz="4" w:space="0"/>
            </w:tcBorders>
            <w:vAlign w:val="center"/>
          </w:tcPr>
          <w:p>
            <w:pPr>
              <w:pStyle w:val="44"/>
            </w:pPr>
            <w:r>
              <w:rPr>
                <w:szCs w:val="21"/>
              </w:rPr>
              <w:t>噪声</w:t>
            </w:r>
          </w:p>
        </w:tc>
        <w:tc>
          <w:tcPr>
            <w:tcW w:w="2628" w:type="pct"/>
            <w:tcBorders>
              <w:left w:val="single" w:color="auto" w:sz="4" w:space="0"/>
            </w:tcBorders>
            <w:vAlign w:val="center"/>
          </w:tcPr>
          <w:p>
            <w:pPr>
              <w:pStyle w:val="44"/>
            </w:pPr>
            <w:r>
              <w:rPr>
                <w:bCs w:val="0"/>
                <w:szCs w:val="21"/>
              </w:rPr>
              <w:t>基础固定措施、隔音、减震</w:t>
            </w:r>
          </w:p>
        </w:tc>
        <w:tc>
          <w:tcPr>
            <w:tcW w:w="1193" w:type="pct"/>
            <w:vAlign w:val="center"/>
          </w:tcPr>
          <w:p>
            <w:pPr>
              <w:pStyle w:val="44"/>
            </w:pPr>
            <w:r>
              <w:rPr>
                <w:rFonts w:hint="eastAsia"/>
              </w:rPr>
              <w:t>9.45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6</w:t>
            </w:r>
          </w:p>
        </w:tc>
        <w:tc>
          <w:tcPr>
            <w:tcW w:w="705" w:type="pct"/>
            <w:tcBorders>
              <w:right w:val="single" w:color="auto" w:sz="4" w:space="0"/>
            </w:tcBorders>
            <w:vAlign w:val="center"/>
          </w:tcPr>
          <w:p>
            <w:pPr>
              <w:pStyle w:val="44"/>
              <w:rPr>
                <w:szCs w:val="21"/>
              </w:rPr>
            </w:pPr>
            <w:r>
              <w:rPr>
                <w:szCs w:val="21"/>
              </w:rPr>
              <w:t>绿化</w:t>
            </w:r>
          </w:p>
        </w:tc>
        <w:tc>
          <w:tcPr>
            <w:tcW w:w="2628" w:type="pct"/>
            <w:tcBorders>
              <w:left w:val="single" w:color="auto" w:sz="4" w:space="0"/>
            </w:tcBorders>
            <w:vAlign w:val="center"/>
          </w:tcPr>
          <w:p>
            <w:pPr>
              <w:pStyle w:val="44"/>
              <w:rPr>
                <w:szCs w:val="21"/>
              </w:rPr>
            </w:pPr>
            <w:r>
              <w:rPr>
                <w:szCs w:val="21"/>
              </w:rPr>
              <w:t>绿化草坪、树木</w:t>
            </w:r>
          </w:p>
        </w:tc>
        <w:tc>
          <w:tcPr>
            <w:tcW w:w="1193" w:type="pct"/>
            <w:vAlign w:val="center"/>
          </w:tcPr>
          <w:p>
            <w:pPr>
              <w:pStyle w:val="44"/>
            </w:pPr>
            <w:r>
              <w:rPr>
                <w:rFonts w:hint="eastAsia"/>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472" w:type="pct"/>
            <w:vAlign w:val="center"/>
          </w:tcPr>
          <w:p>
            <w:pPr>
              <w:pStyle w:val="44"/>
            </w:pPr>
            <w:r>
              <w:t>7</w:t>
            </w:r>
          </w:p>
        </w:tc>
        <w:tc>
          <w:tcPr>
            <w:tcW w:w="705" w:type="pct"/>
            <w:tcBorders>
              <w:right w:val="single" w:color="auto" w:sz="4" w:space="0"/>
            </w:tcBorders>
            <w:vAlign w:val="center"/>
          </w:tcPr>
          <w:p>
            <w:pPr>
              <w:pStyle w:val="44"/>
            </w:pPr>
            <w:r>
              <w:t>合计</w:t>
            </w:r>
          </w:p>
        </w:tc>
        <w:tc>
          <w:tcPr>
            <w:tcW w:w="2628" w:type="pct"/>
            <w:tcBorders>
              <w:left w:val="single" w:color="auto" w:sz="4" w:space="0"/>
            </w:tcBorders>
            <w:vAlign w:val="center"/>
          </w:tcPr>
          <w:p>
            <w:pPr>
              <w:pStyle w:val="44"/>
            </w:pPr>
            <w:r>
              <w:t>-</w:t>
            </w:r>
          </w:p>
        </w:tc>
        <w:tc>
          <w:tcPr>
            <w:tcW w:w="1193" w:type="pct"/>
            <w:vAlign w:val="center"/>
          </w:tcPr>
          <w:p>
            <w:pPr>
              <w:pStyle w:val="44"/>
            </w:pPr>
            <w:r>
              <w:rPr>
                <w:rFonts w:hint="eastAsia"/>
              </w:rPr>
              <w:t>98.8</w:t>
            </w:r>
          </w:p>
        </w:tc>
      </w:tr>
    </w:tbl>
    <w:p>
      <w:pPr>
        <w:ind w:firstLine="0" w:firstLineChars="0"/>
        <w:jc w:val="center"/>
        <w:rPr>
          <w:rFonts w:eastAsia="黑体"/>
        </w:rPr>
      </w:pPr>
      <w:bookmarkStart w:id="524" w:name="_Toc12059_WPSOffice_Level2"/>
      <w:bookmarkStart w:id="525" w:name="_Toc24642_WPSOffice_Level2"/>
      <w:bookmarkStart w:id="526" w:name="_Toc26791_WPSOffice_Level2"/>
      <w:bookmarkStart w:id="527" w:name="_Toc7484_WPSOffice_Level2"/>
      <w:bookmarkStart w:id="528" w:name="_Toc25323_WPSOffice_Level2"/>
      <w:bookmarkStart w:id="529" w:name="_Toc27711_WPSOffice_Level2"/>
      <w:bookmarkStart w:id="530" w:name="_Toc2393_WPSOffice_Level2"/>
      <w:bookmarkStart w:id="531" w:name="_Toc31231_WPSOffice_Level2"/>
      <w:bookmarkStart w:id="532" w:name="_Toc32334_WPSOffice_Level2"/>
      <w:bookmarkStart w:id="533" w:name="_Toc7686_WPSOffice_Level2"/>
      <w:bookmarkStart w:id="534" w:name="_Toc15847_WPSOffice_Level2"/>
      <w:bookmarkStart w:id="535" w:name="_Toc28359_WPSOffice_Level2"/>
      <w:bookmarkStart w:id="536" w:name="_Toc7454_WPSOffice_Level2"/>
      <w:bookmarkStart w:id="537" w:name="_Toc16098_WPSOffice_Level2"/>
      <w:bookmarkStart w:id="538" w:name="_Toc25580_WPSOffice_Level2"/>
      <w:bookmarkStart w:id="539" w:name="_Toc24313"/>
      <w:bookmarkStart w:id="540" w:name="_Toc2358_WPSOffice_Level2"/>
      <w:bookmarkStart w:id="541" w:name="_Toc8968_WPSOffice_Level2"/>
      <w:bookmarkStart w:id="542" w:name="_Toc5128_WPSOffice_Level2"/>
      <w:bookmarkStart w:id="543" w:name="_Toc15825_WPSOffice_Level2"/>
      <w:bookmarkStart w:id="544" w:name="_Toc11888_WPSOffice_Level2"/>
      <w:bookmarkStart w:id="545" w:name="_Toc30143_WPSOffice_Level2"/>
      <w:bookmarkStart w:id="546" w:name="_Toc11963_WPSOffice_Level2"/>
      <w:bookmarkStart w:id="547" w:name="_Toc6356"/>
    </w:p>
    <w:p>
      <w:pPr>
        <w:ind w:firstLine="0" w:firstLineChars="0"/>
        <w:jc w:val="center"/>
        <w:rPr>
          <w:rFonts w:eastAsia="黑体"/>
        </w:rPr>
      </w:pPr>
      <w:r>
        <w:rPr>
          <w:rFonts w:eastAsia="黑体"/>
        </w:rPr>
        <w:t>表4.3-2 环保设施落实情况一览表</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tbl>
      <w:tblPr>
        <w:tblStyle w:val="3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04"/>
        <w:gridCol w:w="1402"/>
        <w:gridCol w:w="3306"/>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Align w:val="center"/>
          </w:tcPr>
          <w:p>
            <w:pPr>
              <w:pStyle w:val="52"/>
              <w:rPr>
                <w:kern w:val="0"/>
                <w:sz w:val="18"/>
                <w:szCs w:val="18"/>
              </w:rPr>
            </w:pPr>
            <w:r>
              <w:rPr>
                <w:kern w:val="0"/>
                <w:sz w:val="18"/>
                <w:szCs w:val="18"/>
              </w:rPr>
              <w:t>类别</w:t>
            </w:r>
          </w:p>
        </w:tc>
        <w:tc>
          <w:tcPr>
            <w:tcW w:w="678" w:type="pct"/>
            <w:vAlign w:val="center"/>
          </w:tcPr>
          <w:p>
            <w:pPr>
              <w:pStyle w:val="52"/>
              <w:rPr>
                <w:kern w:val="0"/>
                <w:sz w:val="18"/>
                <w:szCs w:val="18"/>
              </w:rPr>
            </w:pPr>
            <w:r>
              <w:rPr>
                <w:kern w:val="0"/>
                <w:sz w:val="18"/>
                <w:szCs w:val="18"/>
              </w:rPr>
              <w:t>排放源</w:t>
            </w:r>
          </w:p>
        </w:tc>
        <w:tc>
          <w:tcPr>
            <w:tcW w:w="729" w:type="pct"/>
            <w:vAlign w:val="center"/>
          </w:tcPr>
          <w:p>
            <w:pPr>
              <w:pStyle w:val="52"/>
              <w:rPr>
                <w:kern w:val="0"/>
                <w:sz w:val="18"/>
                <w:szCs w:val="18"/>
              </w:rPr>
            </w:pPr>
            <w:r>
              <w:rPr>
                <w:kern w:val="0"/>
                <w:sz w:val="18"/>
                <w:szCs w:val="18"/>
              </w:rPr>
              <w:t>污染物名称</w:t>
            </w:r>
          </w:p>
        </w:tc>
        <w:tc>
          <w:tcPr>
            <w:tcW w:w="1719" w:type="pct"/>
            <w:vAlign w:val="center"/>
          </w:tcPr>
          <w:p>
            <w:pPr>
              <w:pStyle w:val="52"/>
              <w:rPr>
                <w:kern w:val="0"/>
                <w:sz w:val="18"/>
                <w:szCs w:val="18"/>
              </w:rPr>
            </w:pPr>
            <w:r>
              <w:rPr>
                <w:kern w:val="0"/>
                <w:sz w:val="18"/>
                <w:szCs w:val="18"/>
              </w:rPr>
              <w:t>环评拟采取控制措施</w:t>
            </w:r>
          </w:p>
        </w:tc>
        <w:tc>
          <w:tcPr>
            <w:tcW w:w="1541" w:type="pct"/>
            <w:vAlign w:val="center"/>
          </w:tcPr>
          <w:p>
            <w:pPr>
              <w:pStyle w:val="52"/>
              <w:rPr>
                <w:kern w:val="0"/>
                <w:sz w:val="18"/>
                <w:szCs w:val="18"/>
              </w:rPr>
            </w:pPr>
            <w:r>
              <w:rPr>
                <w:kern w:val="0"/>
                <w:sz w:val="18"/>
                <w:szCs w:val="18"/>
              </w:rPr>
              <w:t>实际采取环保措施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restart"/>
            <w:vAlign w:val="center"/>
          </w:tcPr>
          <w:p>
            <w:pPr>
              <w:pStyle w:val="52"/>
              <w:rPr>
                <w:kern w:val="0"/>
                <w:sz w:val="18"/>
                <w:szCs w:val="18"/>
              </w:rPr>
            </w:pPr>
            <w:r>
              <w:rPr>
                <w:kern w:val="0"/>
                <w:sz w:val="18"/>
                <w:szCs w:val="18"/>
              </w:rPr>
              <w:t>大气</w:t>
            </w:r>
          </w:p>
          <w:p>
            <w:pPr>
              <w:pStyle w:val="52"/>
              <w:rPr>
                <w:kern w:val="0"/>
                <w:sz w:val="18"/>
                <w:szCs w:val="18"/>
              </w:rPr>
            </w:pPr>
            <w:r>
              <w:rPr>
                <w:kern w:val="0"/>
                <w:sz w:val="18"/>
                <w:szCs w:val="18"/>
              </w:rPr>
              <w:t>污染</w:t>
            </w:r>
          </w:p>
          <w:p>
            <w:pPr>
              <w:pStyle w:val="52"/>
              <w:rPr>
                <w:kern w:val="0"/>
                <w:sz w:val="18"/>
                <w:szCs w:val="18"/>
              </w:rPr>
            </w:pPr>
            <w:r>
              <w:rPr>
                <w:kern w:val="0"/>
                <w:sz w:val="18"/>
                <w:szCs w:val="18"/>
              </w:rPr>
              <w:t>物</w:t>
            </w:r>
          </w:p>
        </w:tc>
        <w:tc>
          <w:tcPr>
            <w:tcW w:w="678" w:type="pct"/>
            <w:vAlign w:val="center"/>
          </w:tcPr>
          <w:p>
            <w:pPr>
              <w:pStyle w:val="52"/>
              <w:rPr>
                <w:kern w:val="0"/>
                <w:sz w:val="18"/>
                <w:szCs w:val="18"/>
              </w:rPr>
            </w:pPr>
            <w:r>
              <w:rPr>
                <w:kern w:val="0"/>
                <w:sz w:val="18"/>
                <w:szCs w:val="18"/>
              </w:rPr>
              <w:t>DA001</w:t>
            </w:r>
          </w:p>
        </w:tc>
        <w:tc>
          <w:tcPr>
            <w:tcW w:w="729" w:type="pct"/>
            <w:vAlign w:val="center"/>
          </w:tcPr>
          <w:p>
            <w:pPr>
              <w:pStyle w:val="52"/>
              <w:rPr>
                <w:kern w:val="0"/>
                <w:sz w:val="18"/>
                <w:szCs w:val="18"/>
              </w:rPr>
            </w:pPr>
            <w:r>
              <w:rPr>
                <w:kern w:val="0"/>
                <w:sz w:val="18"/>
                <w:szCs w:val="18"/>
              </w:rPr>
              <w:t>颗粒物</w:t>
            </w:r>
          </w:p>
        </w:tc>
        <w:tc>
          <w:tcPr>
            <w:tcW w:w="1719" w:type="pct"/>
            <w:vAlign w:val="center"/>
          </w:tcPr>
          <w:p>
            <w:pPr>
              <w:pStyle w:val="52"/>
              <w:rPr>
                <w:kern w:val="0"/>
                <w:sz w:val="18"/>
                <w:szCs w:val="18"/>
              </w:rPr>
            </w:pPr>
            <w:r>
              <w:rPr>
                <w:kern w:val="0"/>
                <w:sz w:val="18"/>
                <w:szCs w:val="18"/>
              </w:rPr>
              <w:t>布袋除尘器+15</w:t>
            </w:r>
            <w:r>
              <w:rPr>
                <w:rFonts w:hint="eastAsia"/>
                <w:kern w:val="0"/>
                <w:sz w:val="18"/>
                <w:szCs w:val="18"/>
              </w:rPr>
              <w:t>m高排气筒（D</w:t>
            </w:r>
            <w:r>
              <w:rPr>
                <w:kern w:val="0"/>
                <w:sz w:val="18"/>
                <w:szCs w:val="18"/>
              </w:rPr>
              <w:t>A001</w:t>
            </w:r>
            <w:r>
              <w:rPr>
                <w:rFonts w:hint="eastAsia"/>
                <w:kern w:val="0"/>
                <w:sz w:val="18"/>
                <w:szCs w:val="18"/>
              </w:rPr>
              <w:t>）</w:t>
            </w:r>
          </w:p>
        </w:tc>
        <w:tc>
          <w:tcPr>
            <w:tcW w:w="1541" w:type="pct"/>
            <w:vAlign w:val="center"/>
          </w:tcPr>
          <w:p>
            <w:pPr>
              <w:pStyle w:val="52"/>
              <w:rPr>
                <w:kern w:val="0"/>
                <w:sz w:val="18"/>
                <w:szCs w:val="18"/>
              </w:rPr>
            </w:pPr>
            <w:r>
              <w:rPr>
                <w:kern w:val="0"/>
                <w:sz w:val="18"/>
                <w:szCs w:val="18"/>
              </w:rPr>
              <w:t>布袋除尘器+15</w:t>
            </w:r>
            <w:r>
              <w:rPr>
                <w:rFonts w:hint="eastAsia"/>
                <w:kern w:val="0"/>
                <w:sz w:val="18"/>
                <w:szCs w:val="18"/>
              </w:rPr>
              <w:t>m高排气筒（D</w:t>
            </w:r>
            <w:r>
              <w:rPr>
                <w:kern w:val="0"/>
                <w:sz w:val="18"/>
                <w:szCs w:val="18"/>
              </w:rPr>
              <w:t>A001</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rFonts w:hint="eastAsia"/>
                <w:kern w:val="0"/>
                <w:sz w:val="18"/>
                <w:szCs w:val="18"/>
              </w:rPr>
              <w:t>D</w:t>
            </w:r>
            <w:r>
              <w:rPr>
                <w:kern w:val="0"/>
                <w:sz w:val="18"/>
                <w:szCs w:val="18"/>
              </w:rPr>
              <w:t>A002</w:t>
            </w:r>
          </w:p>
        </w:tc>
        <w:tc>
          <w:tcPr>
            <w:tcW w:w="729" w:type="pct"/>
            <w:vAlign w:val="center"/>
          </w:tcPr>
          <w:p>
            <w:pPr>
              <w:pStyle w:val="52"/>
              <w:rPr>
                <w:kern w:val="0"/>
                <w:sz w:val="18"/>
                <w:szCs w:val="18"/>
              </w:rPr>
            </w:pPr>
            <w:r>
              <w:rPr>
                <w:rFonts w:hint="eastAsia"/>
                <w:kern w:val="0"/>
                <w:sz w:val="18"/>
                <w:szCs w:val="18"/>
              </w:rPr>
              <w:t>颗粒物</w:t>
            </w:r>
          </w:p>
        </w:tc>
        <w:tc>
          <w:tcPr>
            <w:tcW w:w="1719" w:type="pct"/>
            <w:vAlign w:val="center"/>
          </w:tcPr>
          <w:p>
            <w:pPr>
              <w:pStyle w:val="52"/>
              <w:rPr>
                <w:kern w:val="0"/>
                <w:sz w:val="18"/>
                <w:szCs w:val="18"/>
              </w:rPr>
            </w:pPr>
            <w:r>
              <w:rPr>
                <w:rFonts w:hint="eastAsia"/>
                <w:kern w:val="0"/>
                <w:sz w:val="18"/>
                <w:szCs w:val="18"/>
              </w:rPr>
              <w:t>旋风滤芯回收系统+</w:t>
            </w:r>
            <w:r>
              <w:rPr>
                <w:kern w:val="0"/>
                <w:sz w:val="18"/>
                <w:szCs w:val="18"/>
              </w:rPr>
              <w:t>布袋除尘器+15</w:t>
            </w:r>
            <w:r>
              <w:rPr>
                <w:rFonts w:hint="eastAsia"/>
                <w:kern w:val="0"/>
                <w:sz w:val="18"/>
                <w:szCs w:val="18"/>
              </w:rPr>
              <w:t>m高排气筒（D</w:t>
            </w:r>
            <w:r>
              <w:rPr>
                <w:kern w:val="0"/>
                <w:sz w:val="18"/>
                <w:szCs w:val="18"/>
              </w:rPr>
              <w:t>A002</w:t>
            </w:r>
            <w:r>
              <w:rPr>
                <w:rFonts w:hint="eastAsia"/>
                <w:kern w:val="0"/>
                <w:sz w:val="18"/>
                <w:szCs w:val="18"/>
              </w:rPr>
              <w:t>）</w:t>
            </w:r>
          </w:p>
        </w:tc>
        <w:tc>
          <w:tcPr>
            <w:tcW w:w="1541" w:type="pct"/>
            <w:vAlign w:val="center"/>
          </w:tcPr>
          <w:p>
            <w:pPr>
              <w:pStyle w:val="52"/>
              <w:rPr>
                <w:kern w:val="0"/>
                <w:sz w:val="18"/>
                <w:szCs w:val="18"/>
              </w:rPr>
            </w:pPr>
            <w:r>
              <w:rPr>
                <w:rFonts w:hint="eastAsia"/>
                <w:kern w:val="0"/>
                <w:sz w:val="18"/>
                <w:szCs w:val="18"/>
              </w:rPr>
              <w:t>旋风滤芯回收系统+</w:t>
            </w:r>
            <w:r>
              <w:rPr>
                <w:kern w:val="0"/>
                <w:sz w:val="18"/>
                <w:szCs w:val="18"/>
              </w:rPr>
              <w:t>布袋除尘器+15</w:t>
            </w:r>
            <w:r>
              <w:rPr>
                <w:rFonts w:hint="eastAsia"/>
                <w:kern w:val="0"/>
                <w:sz w:val="18"/>
                <w:szCs w:val="18"/>
              </w:rPr>
              <w:t>m高排气筒（D</w:t>
            </w:r>
            <w:r>
              <w:rPr>
                <w:kern w:val="0"/>
                <w:sz w:val="18"/>
                <w:szCs w:val="18"/>
              </w:rPr>
              <w:t>A002</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kern w:val="0"/>
                <w:sz w:val="18"/>
                <w:szCs w:val="18"/>
              </w:rPr>
              <w:t>DA003</w:t>
            </w:r>
          </w:p>
        </w:tc>
        <w:tc>
          <w:tcPr>
            <w:tcW w:w="729" w:type="pct"/>
            <w:vAlign w:val="center"/>
          </w:tcPr>
          <w:p>
            <w:pPr>
              <w:pStyle w:val="52"/>
              <w:rPr>
                <w:kern w:val="0"/>
                <w:sz w:val="18"/>
                <w:szCs w:val="18"/>
              </w:rPr>
            </w:pPr>
            <w:r>
              <w:rPr>
                <w:kern w:val="0"/>
                <w:sz w:val="18"/>
                <w:szCs w:val="18"/>
              </w:rPr>
              <w:t>颗粒</w:t>
            </w:r>
            <w:r>
              <w:rPr>
                <w:rFonts w:hint="eastAsia"/>
                <w:kern w:val="0"/>
                <w:sz w:val="18"/>
                <w:szCs w:val="18"/>
              </w:rPr>
              <w:t>物、VOCs</w:t>
            </w:r>
          </w:p>
        </w:tc>
        <w:tc>
          <w:tcPr>
            <w:tcW w:w="1719" w:type="pct"/>
            <w:vAlign w:val="center"/>
          </w:tcPr>
          <w:p>
            <w:pPr>
              <w:pStyle w:val="52"/>
              <w:rPr>
                <w:kern w:val="0"/>
                <w:sz w:val="18"/>
                <w:szCs w:val="18"/>
              </w:rPr>
            </w:pPr>
            <w:r>
              <w:rPr>
                <w:rFonts w:hint="eastAsia"/>
                <w:kern w:val="0"/>
                <w:sz w:val="18"/>
                <w:szCs w:val="18"/>
              </w:rPr>
              <w:t>干式过滤+活性炭吸附浓缩+催化燃烧+</w:t>
            </w:r>
            <w:r>
              <w:rPr>
                <w:kern w:val="0"/>
                <w:sz w:val="18"/>
                <w:szCs w:val="18"/>
              </w:rPr>
              <w:t>15</w:t>
            </w:r>
            <w:r>
              <w:rPr>
                <w:rFonts w:hint="eastAsia"/>
                <w:kern w:val="0"/>
                <w:sz w:val="18"/>
                <w:szCs w:val="18"/>
              </w:rPr>
              <w:t>m高排气筒（D</w:t>
            </w:r>
            <w:r>
              <w:rPr>
                <w:kern w:val="0"/>
                <w:sz w:val="18"/>
                <w:szCs w:val="18"/>
              </w:rPr>
              <w:t>A00</w:t>
            </w:r>
            <w:r>
              <w:rPr>
                <w:rFonts w:hint="eastAsia"/>
                <w:kern w:val="0"/>
                <w:sz w:val="18"/>
                <w:szCs w:val="18"/>
              </w:rPr>
              <w:t>3）</w:t>
            </w:r>
          </w:p>
        </w:tc>
        <w:tc>
          <w:tcPr>
            <w:tcW w:w="1541" w:type="pct"/>
            <w:vAlign w:val="center"/>
          </w:tcPr>
          <w:p>
            <w:pPr>
              <w:pStyle w:val="52"/>
              <w:rPr>
                <w:kern w:val="0"/>
                <w:sz w:val="18"/>
                <w:szCs w:val="18"/>
              </w:rPr>
            </w:pPr>
            <w:r>
              <w:rPr>
                <w:rFonts w:hint="eastAsia"/>
                <w:kern w:val="0"/>
                <w:sz w:val="18"/>
                <w:szCs w:val="18"/>
              </w:rPr>
              <w:t>干式过滤+活性炭吸附浓缩+催化燃烧+</w:t>
            </w:r>
            <w:r>
              <w:rPr>
                <w:kern w:val="0"/>
                <w:sz w:val="18"/>
                <w:szCs w:val="18"/>
              </w:rPr>
              <w:t>15</w:t>
            </w:r>
            <w:r>
              <w:rPr>
                <w:rFonts w:hint="eastAsia"/>
                <w:kern w:val="0"/>
                <w:sz w:val="18"/>
                <w:szCs w:val="18"/>
              </w:rPr>
              <w:t>m高排气筒（D</w:t>
            </w:r>
            <w:r>
              <w:rPr>
                <w:kern w:val="0"/>
                <w:sz w:val="18"/>
                <w:szCs w:val="18"/>
              </w:rPr>
              <w:t>A00</w:t>
            </w:r>
            <w:r>
              <w:rPr>
                <w:rFonts w:hint="eastAsia"/>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kern w:val="0"/>
                <w:sz w:val="18"/>
                <w:szCs w:val="18"/>
              </w:rPr>
              <w:t>厂区内</w:t>
            </w:r>
          </w:p>
        </w:tc>
        <w:tc>
          <w:tcPr>
            <w:tcW w:w="729" w:type="pct"/>
            <w:vAlign w:val="center"/>
          </w:tcPr>
          <w:p>
            <w:pPr>
              <w:pStyle w:val="52"/>
              <w:rPr>
                <w:kern w:val="0"/>
                <w:sz w:val="18"/>
                <w:szCs w:val="18"/>
              </w:rPr>
            </w:pPr>
            <w:r>
              <w:rPr>
                <w:kern w:val="0"/>
                <w:sz w:val="18"/>
                <w:szCs w:val="18"/>
              </w:rPr>
              <w:t>VOCs</w:t>
            </w:r>
          </w:p>
        </w:tc>
        <w:tc>
          <w:tcPr>
            <w:tcW w:w="1719" w:type="pct"/>
            <w:vAlign w:val="center"/>
          </w:tcPr>
          <w:p>
            <w:pPr>
              <w:pStyle w:val="52"/>
              <w:rPr>
                <w:kern w:val="0"/>
                <w:sz w:val="18"/>
                <w:szCs w:val="18"/>
              </w:rPr>
            </w:pPr>
            <w:r>
              <w:rPr>
                <w:kern w:val="0"/>
                <w:sz w:val="18"/>
                <w:szCs w:val="18"/>
              </w:rPr>
              <w:t>加强车间通风</w:t>
            </w:r>
          </w:p>
        </w:tc>
        <w:tc>
          <w:tcPr>
            <w:tcW w:w="1541" w:type="pct"/>
            <w:vAlign w:val="center"/>
          </w:tcPr>
          <w:p>
            <w:pPr>
              <w:pStyle w:val="52"/>
              <w:rPr>
                <w:kern w:val="0"/>
                <w:sz w:val="18"/>
                <w:szCs w:val="18"/>
              </w:rPr>
            </w:pPr>
            <w:r>
              <w:rPr>
                <w:kern w:val="0"/>
                <w:sz w:val="18"/>
                <w:szCs w:val="18"/>
              </w:rPr>
              <w:t>加强车间通风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kern w:val="0"/>
                <w:sz w:val="18"/>
                <w:szCs w:val="18"/>
              </w:rPr>
              <w:t>厂界</w:t>
            </w:r>
          </w:p>
        </w:tc>
        <w:tc>
          <w:tcPr>
            <w:tcW w:w="729" w:type="pct"/>
            <w:vAlign w:val="center"/>
          </w:tcPr>
          <w:p>
            <w:pPr>
              <w:pStyle w:val="52"/>
              <w:rPr>
                <w:kern w:val="0"/>
                <w:sz w:val="18"/>
                <w:szCs w:val="18"/>
              </w:rPr>
            </w:pPr>
            <w:r>
              <w:rPr>
                <w:kern w:val="0"/>
                <w:sz w:val="18"/>
                <w:szCs w:val="18"/>
              </w:rPr>
              <w:t>颗粒物、VOCs</w:t>
            </w:r>
          </w:p>
        </w:tc>
        <w:tc>
          <w:tcPr>
            <w:tcW w:w="1719" w:type="pct"/>
            <w:vAlign w:val="center"/>
          </w:tcPr>
          <w:p>
            <w:pPr>
              <w:pStyle w:val="52"/>
              <w:rPr>
                <w:kern w:val="0"/>
                <w:sz w:val="18"/>
                <w:szCs w:val="18"/>
              </w:rPr>
            </w:pPr>
            <w:r>
              <w:rPr>
                <w:kern w:val="0"/>
                <w:sz w:val="18"/>
                <w:szCs w:val="18"/>
              </w:rPr>
              <w:t>加强车间通风</w:t>
            </w:r>
          </w:p>
        </w:tc>
        <w:tc>
          <w:tcPr>
            <w:tcW w:w="1541" w:type="pct"/>
            <w:vAlign w:val="center"/>
          </w:tcPr>
          <w:p>
            <w:pPr>
              <w:pStyle w:val="52"/>
              <w:rPr>
                <w:kern w:val="0"/>
                <w:sz w:val="18"/>
                <w:szCs w:val="18"/>
              </w:rPr>
            </w:pPr>
            <w:r>
              <w:rPr>
                <w:kern w:val="0"/>
                <w:sz w:val="18"/>
                <w:szCs w:val="18"/>
              </w:rPr>
              <w:t>加强车间通风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Align w:val="center"/>
          </w:tcPr>
          <w:p>
            <w:pPr>
              <w:pStyle w:val="52"/>
              <w:rPr>
                <w:kern w:val="0"/>
                <w:sz w:val="18"/>
                <w:szCs w:val="18"/>
              </w:rPr>
            </w:pPr>
            <w:r>
              <w:rPr>
                <w:kern w:val="0"/>
                <w:sz w:val="18"/>
                <w:szCs w:val="18"/>
              </w:rPr>
              <w:t>水污</w:t>
            </w:r>
          </w:p>
          <w:p>
            <w:pPr>
              <w:pStyle w:val="52"/>
              <w:rPr>
                <w:kern w:val="0"/>
                <w:sz w:val="18"/>
                <w:szCs w:val="18"/>
              </w:rPr>
            </w:pPr>
            <w:r>
              <w:rPr>
                <w:kern w:val="0"/>
                <w:sz w:val="18"/>
                <w:szCs w:val="18"/>
              </w:rPr>
              <w:t>染物</w:t>
            </w:r>
          </w:p>
        </w:tc>
        <w:tc>
          <w:tcPr>
            <w:tcW w:w="678" w:type="pct"/>
            <w:vAlign w:val="center"/>
          </w:tcPr>
          <w:p>
            <w:pPr>
              <w:pStyle w:val="52"/>
              <w:rPr>
                <w:kern w:val="0"/>
                <w:sz w:val="18"/>
                <w:szCs w:val="18"/>
              </w:rPr>
            </w:pPr>
            <w:r>
              <w:rPr>
                <w:rFonts w:hint="eastAsia"/>
                <w:kern w:val="0"/>
                <w:sz w:val="18"/>
                <w:szCs w:val="18"/>
              </w:rPr>
              <w:t>生活</w:t>
            </w:r>
            <w:r>
              <w:rPr>
                <w:kern w:val="0"/>
                <w:sz w:val="18"/>
                <w:szCs w:val="18"/>
              </w:rPr>
              <w:t>废水</w:t>
            </w:r>
          </w:p>
        </w:tc>
        <w:tc>
          <w:tcPr>
            <w:tcW w:w="729" w:type="pct"/>
            <w:vAlign w:val="center"/>
          </w:tcPr>
          <w:p>
            <w:pPr>
              <w:pStyle w:val="52"/>
              <w:rPr>
                <w:kern w:val="0"/>
                <w:sz w:val="18"/>
                <w:szCs w:val="18"/>
              </w:rPr>
            </w:pPr>
            <w:r>
              <w:rPr>
                <w:kern w:val="0"/>
                <w:sz w:val="18"/>
                <w:szCs w:val="18"/>
              </w:rPr>
              <w:t>COD、氨氮、</w:t>
            </w:r>
            <w:r>
              <w:rPr>
                <w:rFonts w:hint="eastAsia"/>
                <w:kern w:val="0"/>
                <w:sz w:val="18"/>
                <w:szCs w:val="18"/>
              </w:rPr>
              <w:t>SS、BOD5</w:t>
            </w:r>
            <w:r>
              <w:rPr>
                <w:kern w:val="0"/>
                <w:sz w:val="18"/>
                <w:szCs w:val="18"/>
              </w:rPr>
              <w:t>等</w:t>
            </w:r>
          </w:p>
        </w:tc>
        <w:tc>
          <w:tcPr>
            <w:tcW w:w="1719" w:type="pct"/>
            <w:vAlign w:val="center"/>
          </w:tcPr>
          <w:p>
            <w:pPr>
              <w:pStyle w:val="52"/>
              <w:rPr>
                <w:kern w:val="0"/>
                <w:sz w:val="18"/>
                <w:szCs w:val="18"/>
              </w:rPr>
            </w:pPr>
            <w:r>
              <w:rPr>
                <w:rFonts w:hint="eastAsia"/>
                <w:kern w:val="0"/>
                <w:sz w:val="18"/>
                <w:szCs w:val="18"/>
              </w:rPr>
              <w:t>不外排，经化粪池处理后有环卫部门定期清运</w:t>
            </w:r>
          </w:p>
        </w:tc>
        <w:tc>
          <w:tcPr>
            <w:tcW w:w="1541" w:type="pct"/>
            <w:vAlign w:val="center"/>
          </w:tcPr>
          <w:p>
            <w:pPr>
              <w:pStyle w:val="52"/>
              <w:rPr>
                <w:kern w:val="0"/>
                <w:sz w:val="18"/>
                <w:szCs w:val="18"/>
              </w:rPr>
            </w:pPr>
            <w:r>
              <w:rPr>
                <w:rFonts w:hint="eastAsia"/>
                <w:sz w:val="18"/>
                <w:szCs w:val="18"/>
              </w:rPr>
              <w:t>项目废水为生活污水，经化粪池后，进入厂区设置生活污水处理设施，处理工艺为厌氧--好氧--出水，出水水质满足《城市污水再生利用 绿地灌溉水质》 (GB/T25499-2010)标准后后回用于厂区绿化，不外排。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restart"/>
            <w:vAlign w:val="center"/>
          </w:tcPr>
          <w:p>
            <w:pPr>
              <w:pStyle w:val="52"/>
              <w:rPr>
                <w:kern w:val="0"/>
                <w:sz w:val="18"/>
                <w:szCs w:val="18"/>
              </w:rPr>
            </w:pPr>
            <w:r>
              <w:rPr>
                <w:kern w:val="0"/>
                <w:sz w:val="18"/>
                <w:szCs w:val="18"/>
              </w:rPr>
              <w:t>固体</w:t>
            </w:r>
          </w:p>
          <w:p>
            <w:pPr>
              <w:pStyle w:val="52"/>
              <w:rPr>
                <w:kern w:val="0"/>
                <w:sz w:val="18"/>
                <w:szCs w:val="18"/>
              </w:rPr>
            </w:pPr>
            <w:r>
              <w:rPr>
                <w:kern w:val="0"/>
                <w:sz w:val="18"/>
                <w:szCs w:val="18"/>
              </w:rPr>
              <w:t>废物</w:t>
            </w:r>
          </w:p>
        </w:tc>
        <w:tc>
          <w:tcPr>
            <w:tcW w:w="678" w:type="pct"/>
            <w:vAlign w:val="center"/>
          </w:tcPr>
          <w:p>
            <w:pPr>
              <w:pStyle w:val="52"/>
              <w:rPr>
                <w:kern w:val="0"/>
                <w:sz w:val="18"/>
                <w:szCs w:val="18"/>
              </w:rPr>
            </w:pPr>
            <w:r>
              <w:rPr>
                <w:kern w:val="0"/>
                <w:sz w:val="18"/>
                <w:szCs w:val="18"/>
              </w:rPr>
              <w:t>办公生活</w:t>
            </w:r>
          </w:p>
        </w:tc>
        <w:tc>
          <w:tcPr>
            <w:tcW w:w="729" w:type="pct"/>
            <w:vAlign w:val="center"/>
          </w:tcPr>
          <w:p>
            <w:pPr>
              <w:pStyle w:val="52"/>
              <w:rPr>
                <w:kern w:val="0"/>
                <w:sz w:val="18"/>
                <w:szCs w:val="18"/>
              </w:rPr>
            </w:pPr>
            <w:r>
              <w:rPr>
                <w:kern w:val="0"/>
                <w:sz w:val="18"/>
                <w:szCs w:val="18"/>
              </w:rPr>
              <w:t>生活垃圾</w:t>
            </w:r>
          </w:p>
        </w:tc>
        <w:tc>
          <w:tcPr>
            <w:tcW w:w="1719" w:type="pct"/>
            <w:vAlign w:val="center"/>
          </w:tcPr>
          <w:p>
            <w:pPr>
              <w:widowControl/>
              <w:adjustRightInd w:val="0"/>
              <w:snapToGrid w:val="0"/>
              <w:spacing w:line="240" w:lineRule="auto"/>
              <w:ind w:firstLine="0" w:firstLineChars="0"/>
              <w:jc w:val="center"/>
              <w:rPr>
                <w:kern w:val="0"/>
                <w:sz w:val="18"/>
                <w:szCs w:val="18"/>
              </w:rPr>
            </w:pPr>
            <w:r>
              <w:rPr>
                <w:kern w:val="0"/>
                <w:sz w:val="18"/>
                <w:szCs w:val="18"/>
              </w:rPr>
              <w:t>环卫部门清运</w:t>
            </w:r>
          </w:p>
        </w:tc>
        <w:tc>
          <w:tcPr>
            <w:tcW w:w="1541" w:type="pct"/>
            <w:vAlign w:val="center"/>
          </w:tcPr>
          <w:p>
            <w:pPr>
              <w:widowControl/>
              <w:adjustRightInd w:val="0"/>
              <w:snapToGrid w:val="0"/>
              <w:spacing w:line="240" w:lineRule="auto"/>
              <w:ind w:firstLine="0" w:firstLineChars="0"/>
              <w:jc w:val="center"/>
              <w:rPr>
                <w:kern w:val="0"/>
                <w:sz w:val="18"/>
                <w:szCs w:val="18"/>
              </w:rPr>
            </w:pPr>
            <w:r>
              <w:rPr>
                <w:kern w:val="0"/>
                <w:sz w:val="18"/>
                <w:szCs w:val="18"/>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rFonts w:hint="eastAsia"/>
                <w:kern w:val="0"/>
                <w:sz w:val="18"/>
                <w:szCs w:val="18"/>
              </w:rPr>
              <w:t>机加工</w:t>
            </w:r>
          </w:p>
        </w:tc>
        <w:tc>
          <w:tcPr>
            <w:tcW w:w="729" w:type="pct"/>
            <w:vAlign w:val="center"/>
          </w:tcPr>
          <w:p>
            <w:pPr>
              <w:pStyle w:val="52"/>
              <w:rPr>
                <w:kern w:val="0"/>
                <w:sz w:val="18"/>
                <w:szCs w:val="18"/>
              </w:rPr>
            </w:pPr>
            <w:r>
              <w:rPr>
                <w:rFonts w:hint="eastAsia"/>
                <w:kern w:val="0"/>
                <w:sz w:val="18"/>
                <w:szCs w:val="18"/>
              </w:rPr>
              <w:t>下脚料</w:t>
            </w:r>
          </w:p>
        </w:tc>
        <w:tc>
          <w:tcPr>
            <w:tcW w:w="1719" w:type="pct"/>
            <w:vMerge w:val="restart"/>
            <w:vAlign w:val="center"/>
          </w:tcPr>
          <w:p>
            <w:pPr>
              <w:widowControl/>
              <w:adjustRightInd w:val="0"/>
              <w:snapToGrid w:val="0"/>
              <w:spacing w:line="240" w:lineRule="auto"/>
              <w:ind w:firstLine="0" w:firstLineChars="0"/>
              <w:jc w:val="center"/>
              <w:rPr>
                <w:kern w:val="0"/>
                <w:sz w:val="18"/>
                <w:szCs w:val="18"/>
              </w:rPr>
            </w:pPr>
            <w:r>
              <w:rPr>
                <w:kern w:val="0"/>
                <w:sz w:val="18"/>
                <w:szCs w:val="18"/>
              </w:rPr>
              <w:t>外售废旧物资回收单位</w:t>
            </w:r>
          </w:p>
        </w:tc>
        <w:tc>
          <w:tcPr>
            <w:tcW w:w="1541" w:type="pct"/>
            <w:vMerge w:val="restart"/>
            <w:vAlign w:val="center"/>
          </w:tcPr>
          <w:p>
            <w:pPr>
              <w:widowControl/>
              <w:adjustRightInd w:val="0"/>
              <w:snapToGrid w:val="0"/>
              <w:spacing w:line="240" w:lineRule="auto"/>
              <w:ind w:firstLine="0" w:firstLineChars="0"/>
              <w:jc w:val="center"/>
              <w:rPr>
                <w:kern w:val="0"/>
                <w:sz w:val="18"/>
                <w:szCs w:val="18"/>
              </w:rPr>
            </w:pPr>
            <w:r>
              <w:rPr>
                <w:kern w:val="0"/>
                <w:sz w:val="18"/>
                <w:szCs w:val="18"/>
              </w:rPr>
              <w:t>外售废旧物资回收单位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rFonts w:hint="eastAsia"/>
                <w:kern w:val="0"/>
                <w:sz w:val="18"/>
                <w:szCs w:val="18"/>
              </w:rPr>
              <w:t>焊接</w:t>
            </w:r>
          </w:p>
        </w:tc>
        <w:tc>
          <w:tcPr>
            <w:tcW w:w="729" w:type="pct"/>
            <w:vAlign w:val="center"/>
          </w:tcPr>
          <w:p>
            <w:pPr>
              <w:pStyle w:val="52"/>
              <w:rPr>
                <w:kern w:val="0"/>
                <w:sz w:val="18"/>
                <w:szCs w:val="18"/>
              </w:rPr>
            </w:pPr>
            <w:r>
              <w:rPr>
                <w:rFonts w:hint="eastAsia"/>
                <w:kern w:val="0"/>
                <w:sz w:val="18"/>
                <w:szCs w:val="18"/>
              </w:rPr>
              <w:t>废焊渣及焊头</w:t>
            </w:r>
          </w:p>
        </w:tc>
        <w:tc>
          <w:tcPr>
            <w:tcW w:w="1719" w:type="pct"/>
            <w:vMerge w:val="continue"/>
            <w:vAlign w:val="center"/>
          </w:tcPr>
          <w:p>
            <w:pPr>
              <w:widowControl/>
              <w:adjustRightInd w:val="0"/>
              <w:snapToGrid w:val="0"/>
              <w:spacing w:line="240" w:lineRule="auto"/>
              <w:ind w:firstLine="0" w:firstLineChars="0"/>
              <w:jc w:val="center"/>
              <w:rPr>
                <w:kern w:val="0"/>
                <w:sz w:val="18"/>
                <w:szCs w:val="18"/>
              </w:rPr>
            </w:pPr>
          </w:p>
        </w:tc>
        <w:tc>
          <w:tcPr>
            <w:tcW w:w="1541" w:type="pct"/>
            <w:vMerge w:val="continue"/>
            <w:vAlign w:val="center"/>
          </w:tcPr>
          <w:p>
            <w:pPr>
              <w:pStyle w:val="52"/>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Merge w:val="restart"/>
            <w:vAlign w:val="center"/>
          </w:tcPr>
          <w:p>
            <w:pPr>
              <w:pStyle w:val="52"/>
              <w:rPr>
                <w:kern w:val="0"/>
                <w:sz w:val="18"/>
                <w:szCs w:val="18"/>
              </w:rPr>
            </w:pPr>
            <w:r>
              <w:rPr>
                <w:rFonts w:hint="eastAsia"/>
                <w:kern w:val="0"/>
                <w:sz w:val="18"/>
                <w:szCs w:val="18"/>
              </w:rPr>
              <w:t>喷漆</w:t>
            </w:r>
          </w:p>
        </w:tc>
        <w:tc>
          <w:tcPr>
            <w:tcW w:w="729" w:type="pct"/>
            <w:vAlign w:val="center"/>
          </w:tcPr>
          <w:p>
            <w:pPr>
              <w:pStyle w:val="52"/>
              <w:rPr>
                <w:kern w:val="0"/>
                <w:sz w:val="18"/>
                <w:szCs w:val="18"/>
              </w:rPr>
            </w:pPr>
            <w:r>
              <w:rPr>
                <w:rFonts w:hint="eastAsia"/>
                <w:kern w:val="0"/>
                <w:sz w:val="18"/>
                <w:szCs w:val="18"/>
              </w:rPr>
              <w:t>漆渣</w:t>
            </w:r>
          </w:p>
        </w:tc>
        <w:tc>
          <w:tcPr>
            <w:tcW w:w="1719" w:type="pct"/>
            <w:vMerge w:val="restart"/>
            <w:vAlign w:val="center"/>
          </w:tcPr>
          <w:p>
            <w:pPr>
              <w:pStyle w:val="52"/>
              <w:rPr>
                <w:kern w:val="0"/>
                <w:sz w:val="18"/>
                <w:szCs w:val="18"/>
              </w:rPr>
            </w:pPr>
            <w:r>
              <w:rPr>
                <w:rFonts w:hint="eastAsia"/>
                <w:kern w:val="0"/>
                <w:sz w:val="18"/>
                <w:szCs w:val="18"/>
              </w:rPr>
              <w:t>由厂家回收</w:t>
            </w:r>
          </w:p>
        </w:tc>
        <w:tc>
          <w:tcPr>
            <w:tcW w:w="1541" w:type="pct"/>
            <w:vMerge w:val="restart"/>
            <w:vAlign w:val="center"/>
          </w:tcPr>
          <w:p>
            <w:pPr>
              <w:pStyle w:val="52"/>
              <w:rPr>
                <w:kern w:val="0"/>
                <w:sz w:val="18"/>
                <w:szCs w:val="18"/>
              </w:rPr>
            </w:pPr>
            <w:r>
              <w:rPr>
                <w:rFonts w:hint="eastAsia"/>
                <w:szCs w:val="21"/>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Merge w:val="continue"/>
            <w:vAlign w:val="center"/>
          </w:tcPr>
          <w:p>
            <w:pPr>
              <w:pStyle w:val="52"/>
              <w:rPr>
                <w:kern w:val="0"/>
                <w:sz w:val="18"/>
                <w:szCs w:val="18"/>
              </w:rPr>
            </w:pPr>
          </w:p>
        </w:tc>
        <w:tc>
          <w:tcPr>
            <w:tcW w:w="729" w:type="pct"/>
            <w:vAlign w:val="center"/>
          </w:tcPr>
          <w:p>
            <w:pPr>
              <w:pStyle w:val="52"/>
              <w:rPr>
                <w:kern w:val="0"/>
                <w:sz w:val="18"/>
                <w:szCs w:val="18"/>
              </w:rPr>
            </w:pPr>
            <w:r>
              <w:rPr>
                <w:rFonts w:hint="eastAsia"/>
                <w:kern w:val="0"/>
                <w:sz w:val="18"/>
                <w:szCs w:val="18"/>
              </w:rPr>
              <w:t>漆桶</w:t>
            </w:r>
          </w:p>
        </w:tc>
        <w:tc>
          <w:tcPr>
            <w:tcW w:w="1719" w:type="pct"/>
            <w:vMerge w:val="continue"/>
            <w:vAlign w:val="center"/>
          </w:tcPr>
          <w:p>
            <w:pPr>
              <w:pStyle w:val="52"/>
              <w:rPr>
                <w:kern w:val="0"/>
                <w:sz w:val="18"/>
                <w:szCs w:val="18"/>
              </w:rPr>
            </w:pPr>
          </w:p>
        </w:tc>
        <w:tc>
          <w:tcPr>
            <w:tcW w:w="1541" w:type="pct"/>
            <w:vMerge w:val="continue"/>
            <w:vAlign w:val="center"/>
          </w:tcPr>
          <w:p>
            <w:pPr>
              <w:pStyle w:val="52"/>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rFonts w:hint="eastAsia"/>
                <w:kern w:val="0"/>
                <w:sz w:val="18"/>
                <w:szCs w:val="18"/>
              </w:rPr>
              <w:t>喷粉</w:t>
            </w:r>
          </w:p>
        </w:tc>
        <w:tc>
          <w:tcPr>
            <w:tcW w:w="729" w:type="pct"/>
            <w:vAlign w:val="center"/>
          </w:tcPr>
          <w:p>
            <w:pPr>
              <w:pStyle w:val="52"/>
              <w:rPr>
                <w:kern w:val="0"/>
                <w:sz w:val="18"/>
                <w:szCs w:val="18"/>
              </w:rPr>
            </w:pPr>
            <w:r>
              <w:rPr>
                <w:rFonts w:hint="eastAsia"/>
                <w:kern w:val="0"/>
                <w:sz w:val="18"/>
                <w:szCs w:val="18"/>
              </w:rPr>
              <w:t>废包装物</w:t>
            </w:r>
          </w:p>
        </w:tc>
        <w:tc>
          <w:tcPr>
            <w:tcW w:w="1719" w:type="pct"/>
            <w:vMerge w:val="restart"/>
            <w:vAlign w:val="center"/>
          </w:tcPr>
          <w:p>
            <w:pPr>
              <w:widowControl/>
              <w:adjustRightInd w:val="0"/>
              <w:snapToGrid w:val="0"/>
              <w:spacing w:line="240" w:lineRule="auto"/>
              <w:ind w:firstLine="0" w:firstLineChars="0"/>
              <w:jc w:val="center"/>
              <w:rPr>
                <w:kern w:val="0"/>
                <w:sz w:val="18"/>
                <w:szCs w:val="18"/>
              </w:rPr>
            </w:pPr>
            <w:r>
              <w:rPr>
                <w:kern w:val="0"/>
                <w:sz w:val="18"/>
                <w:szCs w:val="18"/>
              </w:rPr>
              <w:t>外售废旧物资回收单位</w:t>
            </w:r>
          </w:p>
        </w:tc>
        <w:tc>
          <w:tcPr>
            <w:tcW w:w="1541" w:type="pct"/>
            <w:vMerge w:val="restart"/>
            <w:vAlign w:val="center"/>
          </w:tcPr>
          <w:p>
            <w:pPr>
              <w:widowControl/>
              <w:adjustRightInd w:val="0"/>
              <w:snapToGrid w:val="0"/>
              <w:spacing w:line="240" w:lineRule="auto"/>
              <w:ind w:firstLine="0" w:firstLineChars="0"/>
              <w:jc w:val="center"/>
              <w:rPr>
                <w:kern w:val="0"/>
                <w:sz w:val="18"/>
                <w:szCs w:val="18"/>
              </w:rPr>
            </w:pPr>
            <w:r>
              <w:rPr>
                <w:kern w:val="0"/>
                <w:sz w:val="18"/>
                <w:szCs w:val="18"/>
              </w:rPr>
              <w:t>外售废旧物资回收单位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rFonts w:hint="eastAsia"/>
                <w:kern w:val="0"/>
                <w:sz w:val="18"/>
                <w:szCs w:val="18"/>
              </w:rPr>
              <w:t>机加工布袋除尘器</w:t>
            </w:r>
          </w:p>
        </w:tc>
        <w:tc>
          <w:tcPr>
            <w:tcW w:w="729" w:type="pct"/>
            <w:vAlign w:val="center"/>
          </w:tcPr>
          <w:p>
            <w:pPr>
              <w:pStyle w:val="52"/>
              <w:rPr>
                <w:kern w:val="0"/>
                <w:sz w:val="18"/>
                <w:szCs w:val="18"/>
              </w:rPr>
            </w:pPr>
            <w:r>
              <w:rPr>
                <w:rFonts w:hint="eastAsia"/>
                <w:kern w:val="0"/>
                <w:sz w:val="18"/>
                <w:szCs w:val="18"/>
              </w:rPr>
              <w:t>收集粉尘</w:t>
            </w:r>
          </w:p>
        </w:tc>
        <w:tc>
          <w:tcPr>
            <w:tcW w:w="1719" w:type="pct"/>
            <w:vMerge w:val="continue"/>
            <w:vAlign w:val="center"/>
          </w:tcPr>
          <w:p>
            <w:pPr>
              <w:widowControl/>
              <w:adjustRightInd w:val="0"/>
              <w:snapToGrid w:val="0"/>
              <w:spacing w:line="240" w:lineRule="auto"/>
              <w:ind w:firstLine="0" w:firstLineChars="0"/>
              <w:jc w:val="center"/>
              <w:rPr>
                <w:kern w:val="0"/>
                <w:sz w:val="18"/>
                <w:szCs w:val="18"/>
              </w:rPr>
            </w:pPr>
          </w:p>
        </w:tc>
        <w:tc>
          <w:tcPr>
            <w:tcW w:w="1541" w:type="pct"/>
            <w:vMerge w:val="continue"/>
            <w:vAlign w:val="center"/>
          </w:tcPr>
          <w:p>
            <w:pPr>
              <w:pStyle w:val="52"/>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pStyle w:val="52"/>
              <w:rPr>
                <w:kern w:val="0"/>
                <w:sz w:val="18"/>
                <w:szCs w:val="18"/>
              </w:rPr>
            </w:pPr>
            <w:r>
              <w:rPr>
                <w:rFonts w:hint="eastAsia"/>
                <w:kern w:val="0"/>
                <w:sz w:val="18"/>
                <w:szCs w:val="18"/>
              </w:rPr>
              <w:t>喷粉布袋除尘器</w:t>
            </w:r>
          </w:p>
        </w:tc>
        <w:tc>
          <w:tcPr>
            <w:tcW w:w="729" w:type="pct"/>
            <w:vAlign w:val="center"/>
          </w:tcPr>
          <w:p>
            <w:pPr>
              <w:pStyle w:val="52"/>
              <w:rPr>
                <w:kern w:val="0"/>
                <w:sz w:val="18"/>
                <w:szCs w:val="18"/>
              </w:rPr>
            </w:pPr>
            <w:r>
              <w:rPr>
                <w:rFonts w:hint="eastAsia"/>
                <w:kern w:val="0"/>
                <w:sz w:val="18"/>
                <w:szCs w:val="18"/>
              </w:rPr>
              <w:t>收集粉尘</w:t>
            </w:r>
          </w:p>
        </w:tc>
        <w:tc>
          <w:tcPr>
            <w:tcW w:w="1719" w:type="pct"/>
            <w:vMerge w:val="continue"/>
            <w:vAlign w:val="center"/>
          </w:tcPr>
          <w:p>
            <w:pPr>
              <w:widowControl/>
              <w:adjustRightInd w:val="0"/>
              <w:snapToGrid w:val="0"/>
              <w:spacing w:line="240" w:lineRule="auto"/>
              <w:ind w:firstLine="0" w:firstLineChars="0"/>
              <w:jc w:val="center"/>
              <w:rPr>
                <w:kern w:val="0"/>
                <w:sz w:val="18"/>
                <w:szCs w:val="18"/>
              </w:rPr>
            </w:pPr>
          </w:p>
        </w:tc>
        <w:tc>
          <w:tcPr>
            <w:tcW w:w="1541" w:type="pct"/>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Merge w:val="restart"/>
            <w:vAlign w:val="center"/>
          </w:tcPr>
          <w:p>
            <w:pPr>
              <w:widowControl/>
              <w:snapToGrid w:val="0"/>
              <w:spacing w:line="240" w:lineRule="auto"/>
              <w:ind w:firstLine="0" w:firstLineChars="0"/>
              <w:jc w:val="center"/>
              <w:rPr>
                <w:kern w:val="0"/>
                <w:sz w:val="18"/>
                <w:szCs w:val="18"/>
              </w:rPr>
            </w:pPr>
            <w:r>
              <w:rPr>
                <w:rFonts w:hint="eastAsia"/>
                <w:kern w:val="0"/>
                <w:sz w:val="18"/>
                <w:szCs w:val="18"/>
              </w:rPr>
              <w:t>机加工</w:t>
            </w:r>
          </w:p>
        </w:tc>
        <w:tc>
          <w:tcPr>
            <w:tcW w:w="729" w:type="pct"/>
            <w:vAlign w:val="center"/>
          </w:tcPr>
          <w:p>
            <w:pPr>
              <w:widowControl/>
              <w:snapToGrid w:val="0"/>
              <w:spacing w:line="240" w:lineRule="auto"/>
              <w:ind w:firstLine="0" w:firstLineChars="0"/>
              <w:jc w:val="center"/>
              <w:rPr>
                <w:kern w:val="0"/>
                <w:sz w:val="18"/>
                <w:szCs w:val="18"/>
              </w:rPr>
            </w:pPr>
            <w:r>
              <w:rPr>
                <w:rFonts w:hint="eastAsia"/>
                <w:kern w:val="0"/>
                <w:sz w:val="18"/>
                <w:szCs w:val="18"/>
              </w:rPr>
              <w:t>废切削液</w:t>
            </w:r>
          </w:p>
        </w:tc>
        <w:tc>
          <w:tcPr>
            <w:tcW w:w="1719" w:type="pct"/>
            <w:vMerge w:val="restart"/>
            <w:vAlign w:val="center"/>
          </w:tcPr>
          <w:p>
            <w:pPr>
              <w:pStyle w:val="52"/>
              <w:rPr>
                <w:kern w:val="0"/>
                <w:sz w:val="18"/>
                <w:szCs w:val="18"/>
              </w:rPr>
            </w:pPr>
            <w:r>
              <w:rPr>
                <w:rFonts w:hint="eastAsia"/>
                <w:kern w:val="0"/>
                <w:sz w:val="18"/>
                <w:szCs w:val="18"/>
              </w:rPr>
              <w:t>委托</w:t>
            </w:r>
            <w:r>
              <w:rPr>
                <w:kern w:val="0"/>
                <w:sz w:val="18"/>
                <w:szCs w:val="18"/>
              </w:rPr>
              <w:t>有</w:t>
            </w:r>
            <w:r>
              <w:rPr>
                <w:rFonts w:hint="eastAsia"/>
                <w:kern w:val="0"/>
                <w:sz w:val="18"/>
                <w:szCs w:val="18"/>
              </w:rPr>
              <w:t>危废处置</w:t>
            </w:r>
            <w:r>
              <w:rPr>
                <w:kern w:val="0"/>
                <w:sz w:val="18"/>
                <w:szCs w:val="18"/>
              </w:rPr>
              <w:t>资质单位处置</w:t>
            </w:r>
          </w:p>
        </w:tc>
        <w:tc>
          <w:tcPr>
            <w:tcW w:w="1541" w:type="pct"/>
            <w:vMerge w:val="restart"/>
            <w:vAlign w:val="center"/>
          </w:tcPr>
          <w:p>
            <w:pPr>
              <w:pStyle w:val="52"/>
              <w:rPr>
                <w:kern w:val="0"/>
                <w:sz w:val="18"/>
                <w:szCs w:val="18"/>
              </w:rPr>
            </w:pPr>
            <w:r>
              <w:rPr>
                <w:rFonts w:hint="eastAsia"/>
                <w:kern w:val="0"/>
                <w:sz w:val="18"/>
                <w:szCs w:val="18"/>
              </w:rPr>
              <w:t>委托</w:t>
            </w:r>
            <w:r>
              <w:rPr>
                <w:kern w:val="0"/>
                <w:sz w:val="18"/>
                <w:szCs w:val="18"/>
              </w:rPr>
              <w:t>有</w:t>
            </w:r>
            <w:r>
              <w:rPr>
                <w:rFonts w:hint="eastAsia"/>
                <w:kern w:val="0"/>
                <w:sz w:val="18"/>
                <w:szCs w:val="18"/>
              </w:rPr>
              <w:t>危废处置</w:t>
            </w:r>
            <w:r>
              <w:rPr>
                <w:kern w:val="0"/>
                <w:sz w:val="18"/>
                <w:szCs w:val="18"/>
              </w:rPr>
              <w:t>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Merge w:val="continue"/>
            <w:vAlign w:val="center"/>
          </w:tcPr>
          <w:p>
            <w:pPr>
              <w:widowControl/>
              <w:snapToGrid w:val="0"/>
              <w:spacing w:line="240" w:lineRule="auto"/>
              <w:ind w:firstLine="0" w:firstLineChars="0"/>
              <w:jc w:val="center"/>
              <w:rPr>
                <w:kern w:val="0"/>
                <w:sz w:val="18"/>
                <w:szCs w:val="18"/>
              </w:rPr>
            </w:pPr>
          </w:p>
        </w:tc>
        <w:tc>
          <w:tcPr>
            <w:tcW w:w="729" w:type="pct"/>
            <w:vAlign w:val="center"/>
          </w:tcPr>
          <w:p>
            <w:pPr>
              <w:widowControl/>
              <w:snapToGrid w:val="0"/>
              <w:spacing w:line="240" w:lineRule="auto"/>
              <w:ind w:firstLine="0" w:firstLineChars="0"/>
              <w:jc w:val="center"/>
              <w:rPr>
                <w:kern w:val="0"/>
                <w:sz w:val="18"/>
                <w:szCs w:val="18"/>
              </w:rPr>
            </w:pPr>
            <w:r>
              <w:rPr>
                <w:rFonts w:hint="eastAsia"/>
                <w:kern w:val="0"/>
                <w:sz w:val="18"/>
                <w:szCs w:val="18"/>
              </w:rPr>
              <w:t>废切削液桶</w:t>
            </w:r>
          </w:p>
        </w:tc>
        <w:tc>
          <w:tcPr>
            <w:tcW w:w="1719" w:type="pct"/>
            <w:vMerge w:val="continue"/>
            <w:vAlign w:val="center"/>
          </w:tcPr>
          <w:p>
            <w:pPr>
              <w:pStyle w:val="52"/>
              <w:rPr>
                <w:kern w:val="0"/>
                <w:sz w:val="18"/>
                <w:szCs w:val="18"/>
              </w:rPr>
            </w:pPr>
          </w:p>
        </w:tc>
        <w:tc>
          <w:tcPr>
            <w:tcW w:w="1541" w:type="pct"/>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Align w:val="center"/>
          </w:tcPr>
          <w:p>
            <w:pPr>
              <w:widowControl/>
              <w:snapToGrid w:val="0"/>
              <w:spacing w:line="240" w:lineRule="auto"/>
              <w:ind w:firstLine="0" w:firstLineChars="0"/>
              <w:jc w:val="center"/>
              <w:rPr>
                <w:kern w:val="0"/>
                <w:sz w:val="18"/>
                <w:szCs w:val="18"/>
              </w:rPr>
            </w:pPr>
            <w:r>
              <w:rPr>
                <w:kern w:val="0"/>
                <w:sz w:val="18"/>
                <w:szCs w:val="18"/>
              </w:rPr>
              <w:t>日常设备保养</w:t>
            </w:r>
          </w:p>
        </w:tc>
        <w:tc>
          <w:tcPr>
            <w:tcW w:w="729" w:type="pct"/>
            <w:vAlign w:val="center"/>
          </w:tcPr>
          <w:p>
            <w:pPr>
              <w:widowControl/>
              <w:snapToGrid w:val="0"/>
              <w:spacing w:line="240" w:lineRule="auto"/>
              <w:ind w:firstLine="0" w:firstLineChars="0"/>
              <w:jc w:val="center"/>
              <w:rPr>
                <w:kern w:val="0"/>
                <w:sz w:val="18"/>
                <w:szCs w:val="18"/>
              </w:rPr>
            </w:pPr>
            <w:r>
              <w:rPr>
                <w:kern w:val="0"/>
                <w:sz w:val="18"/>
                <w:szCs w:val="18"/>
              </w:rPr>
              <w:t>废</w:t>
            </w:r>
            <w:r>
              <w:rPr>
                <w:rFonts w:hint="eastAsia"/>
                <w:kern w:val="0"/>
                <w:sz w:val="18"/>
                <w:szCs w:val="18"/>
              </w:rPr>
              <w:t>机</w:t>
            </w:r>
            <w:r>
              <w:rPr>
                <w:kern w:val="0"/>
                <w:sz w:val="18"/>
                <w:szCs w:val="18"/>
              </w:rPr>
              <w:t>油及桶</w:t>
            </w:r>
          </w:p>
        </w:tc>
        <w:tc>
          <w:tcPr>
            <w:tcW w:w="1719" w:type="pct"/>
            <w:vMerge w:val="continue"/>
            <w:vAlign w:val="center"/>
          </w:tcPr>
          <w:p>
            <w:pPr>
              <w:widowControl/>
              <w:adjustRightInd w:val="0"/>
              <w:snapToGrid w:val="0"/>
              <w:spacing w:line="240" w:lineRule="auto"/>
              <w:ind w:firstLine="0" w:firstLineChars="0"/>
              <w:jc w:val="center"/>
              <w:rPr>
                <w:kern w:val="0"/>
                <w:sz w:val="18"/>
                <w:szCs w:val="18"/>
              </w:rPr>
            </w:pPr>
          </w:p>
        </w:tc>
        <w:tc>
          <w:tcPr>
            <w:tcW w:w="1541" w:type="pct"/>
            <w:vMerge w:val="continue"/>
            <w:vAlign w:val="center"/>
          </w:tcPr>
          <w:p>
            <w:pPr>
              <w:pStyle w:val="52"/>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0" w:type="pct"/>
            <w:vMerge w:val="continue"/>
            <w:vAlign w:val="center"/>
          </w:tcPr>
          <w:p>
            <w:pPr>
              <w:pStyle w:val="52"/>
              <w:rPr>
                <w:kern w:val="0"/>
                <w:sz w:val="18"/>
                <w:szCs w:val="18"/>
              </w:rPr>
            </w:pPr>
          </w:p>
        </w:tc>
        <w:tc>
          <w:tcPr>
            <w:tcW w:w="678" w:type="pct"/>
            <w:vMerge w:val="restart"/>
            <w:vAlign w:val="center"/>
          </w:tcPr>
          <w:p>
            <w:pPr>
              <w:widowControl/>
              <w:snapToGrid w:val="0"/>
              <w:spacing w:line="240" w:lineRule="auto"/>
              <w:ind w:firstLine="0" w:firstLineChars="0"/>
              <w:jc w:val="center"/>
              <w:rPr>
                <w:kern w:val="0"/>
                <w:sz w:val="18"/>
                <w:szCs w:val="18"/>
              </w:rPr>
            </w:pPr>
            <w:r>
              <w:rPr>
                <w:rFonts w:hint="eastAsia"/>
                <w:kern w:val="0"/>
                <w:sz w:val="18"/>
                <w:szCs w:val="18"/>
              </w:rPr>
              <w:t>废气治理</w:t>
            </w:r>
          </w:p>
        </w:tc>
        <w:tc>
          <w:tcPr>
            <w:tcW w:w="729" w:type="pct"/>
            <w:vAlign w:val="center"/>
          </w:tcPr>
          <w:p>
            <w:pPr>
              <w:widowControl/>
              <w:snapToGrid w:val="0"/>
              <w:spacing w:line="240" w:lineRule="auto"/>
              <w:ind w:firstLine="0" w:firstLineChars="0"/>
              <w:jc w:val="center"/>
              <w:rPr>
                <w:kern w:val="0"/>
                <w:sz w:val="18"/>
                <w:szCs w:val="18"/>
              </w:rPr>
            </w:pPr>
            <w:r>
              <w:rPr>
                <w:rFonts w:hint="eastAsia"/>
                <w:kern w:val="0"/>
                <w:sz w:val="18"/>
                <w:szCs w:val="18"/>
              </w:rPr>
              <w:t>废过滤纸</w:t>
            </w:r>
          </w:p>
        </w:tc>
        <w:tc>
          <w:tcPr>
            <w:tcW w:w="1719" w:type="pct"/>
            <w:vMerge w:val="continue"/>
            <w:vAlign w:val="center"/>
          </w:tcPr>
          <w:p>
            <w:pPr>
              <w:widowControl/>
              <w:adjustRightInd w:val="0"/>
              <w:snapToGrid w:val="0"/>
              <w:spacing w:line="240" w:lineRule="auto"/>
              <w:ind w:firstLine="0" w:firstLineChars="0"/>
              <w:jc w:val="center"/>
              <w:rPr>
                <w:kern w:val="0"/>
                <w:sz w:val="18"/>
                <w:szCs w:val="18"/>
              </w:rPr>
            </w:pPr>
          </w:p>
        </w:tc>
        <w:tc>
          <w:tcPr>
            <w:tcW w:w="1541" w:type="pct"/>
            <w:vMerge w:val="continue"/>
            <w:vAlign w:val="center"/>
          </w:tcPr>
          <w:p>
            <w:pPr>
              <w:pStyle w:val="52"/>
              <w:rPr>
                <w:kern w:val="0"/>
                <w:sz w:val="18"/>
                <w:szCs w:val="18"/>
              </w:rPr>
            </w:pPr>
          </w:p>
        </w:tc>
      </w:tr>
      <w:tr>
        <w:tblPrEx>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Merge w:val="continue"/>
            <w:vAlign w:val="center"/>
          </w:tcPr>
          <w:p>
            <w:pPr>
              <w:widowControl/>
              <w:snapToGrid w:val="0"/>
              <w:spacing w:line="240" w:lineRule="auto"/>
              <w:ind w:firstLine="0" w:firstLineChars="0"/>
              <w:jc w:val="center"/>
              <w:rPr>
                <w:kern w:val="0"/>
                <w:sz w:val="18"/>
                <w:szCs w:val="18"/>
              </w:rPr>
            </w:pPr>
          </w:p>
        </w:tc>
        <w:tc>
          <w:tcPr>
            <w:tcW w:w="729" w:type="pct"/>
            <w:vAlign w:val="center"/>
          </w:tcPr>
          <w:p>
            <w:pPr>
              <w:widowControl/>
              <w:snapToGrid w:val="0"/>
              <w:spacing w:line="240" w:lineRule="auto"/>
              <w:ind w:firstLine="0" w:firstLineChars="0"/>
              <w:jc w:val="center"/>
              <w:rPr>
                <w:kern w:val="0"/>
                <w:sz w:val="18"/>
                <w:szCs w:val="18"/>
              </w:rPr>
            </w:pPr>
            <w:r>
              <w:rPr>
                <w:kern w:val="0"/>
                <w:sz w:val="18"/>
                <w:szCs w:val="18"/>
              </w:rPr>
              <w:t>废活性炭</w:t>
            </w:r>
          </w:p>
        </w:tc>
        <w:tc>
          <w:tcPr>
            <w:tcW w:w="1719" w:type="pct"/>
            <w:vMerge w:val="continue"/>
            <w:vAlign w:val="center"/>
          </w:tcPr>
          <w:p>
            <w:pPr>
              <w:widowControl/>
              <w:adjustRightInd w:val="0"/>
              <w:snapToGrid w:val="0"/>
              <w:spacing w:line="240" w:lineRule="auto"/>
              <w:ind w:firstLine="0" w:firstLineChars="0"/>
              <w:jc w:val="center"/>
              <w:rPr>
                <w:kern w:val="0"/>
                <w:sz w:val="18"/>
                <w:szCs w:val="18"/>
              </w:rPr>
            </w:pPr>
          </w:p>
        </w:tc>
        <w:tc>
          <w:tcPr>
            <w:tcW w:w="1541" w:type="pct"/>
            <w:vMerge w:val="continue"/>
            <w:vAlign w:val="center"/>
          </w:tcPr>
          <w:p>
            <w:pPr>
              <w:pStyle w:val="52"/>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vAlign w:val="center"/>
          </w:tcPr>
          <w:p>
            <w:pPr>
              <w:pStyle w:val="52"/>
              <w:rPr>
                <w:kern w:val="0"/>
                <w:sz w:val="18"/>
                <w:szCs w:val="18"/>
              </w:rPr>
            </w:pPr>
          </w:p>
        </w:tc>
        <w:tc>
          <w:tcPr>
            <w:tcW w:w="678" w:type="pct"/>
            <w:vMerge w:val="continue"/>
            <w:vAlign w:val="center"/>
          </w:tcPr>
          <w:p>
            <w:pPr>
              <w:widowControl/>
              <w:snapToGrid w:val="0"/>
              <w:spacing w:line="240" w:lineRule="auto"/>
              <w:ind w:firstLine="0" w:firstLineChars="0"/>
              <w:jc w:val="center"/>
              <w:rPr>
                <w:kern w:val="0"/>
                <w:sz w:val="18"/>
                <w:szCs w:val="18"/>
              </w:rPr>
            </w:pPr>
          </w:p>
        </w:tc>
        <w:tc>
          <w:tcPr>
            <w:tcW w:w="729" w:type="pct"/>
            <w:vAlign w:val="center"/>
          </w:tcPr>
          <w:p>
            <w:pPr>
              <w:widowControl/>
              <w:snapToGrid w:val="0"/>
              <w:spacing w:line="240" w:lineRule="auto"/>
              <w:ind w:firstLine="0" w:firstLineChars="0"/>
              <w:jc w:val="center"/>
              <w:rPr>
                <w:kern w:val="0"/>
                <w:sz w:val="18"/>
                <w:szCs w:val="18"/>
              </w:rPr>
            </w:pPr>
            <w:r>
              <w:rPr>
                <w:kern w:val="0"/>
                <w:sz w:val="18"/>
                <w:szCs w:val="18"/>
              </w:rPr>
              <w:t>废催化剂</w:t>
            </w:r>
          </w:p>
        </w:tc>
        <w:tc>
          <w:tcPr>
            <w:tcW w:w="1719" w:type="pct"/>
            <w:vMerge w:val="continue"/>
            <w:vAlign w:val="center"/>
          </w:tcPr>
          <w:p>
            <w:pPr>
              <w:pStyle w:val="52"/>
              <w:rPr>
                <w:kern w:val="0"/>
                <w:sz w:val="18"/>
                <w:szCs w:val="18"/>
              </w:rPr>
            </w:pPr>
          </w:p>
        </w:tc>
        <w:tc>
          <w:tcPr>
            <w:tcW w:w="1541" w:type="pct"/>
            <w:vMerge w:val="continue"/>
            <w:vAlign w:val="center"/>
          </w:tcPr>
          <w:p>
            <w:pPr>
              <w:pStyle w:val="52"/>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Align w:val="center"/>
          </w:tcPr>
          <w:p>
            <w:pPr>
              <w:pStyle w:val="52"/>
              <w:rPr>
                <w:kern w:val="0"/>
                <w:sz w:val="18"/>
                <w:szCs w:val="18"/>
              </w:rPr>
            </w:pPr>
            <w:r>
              <w:rPr>
                <w:kern w:val="0"/>
                <w:sz w:val="18"/>
                <w:szCs w:val="18"/>
              </w:rPr>
              <w:t>噪声</w:t>
            </w:r>
          </w:p>
        </w:tc>
        <w:tc>
          <w:tcPr>
            <w:tcW w:w="678" w:type="pct"/>
            <w:vAlign w:val="center"/>
          </w:tcPr>
          <w:p>
            <w:pPr>
              <w:pStyle w:val="52"/>
              <w:rPr>
                <w:kern w:val="0"/>
                <w:sz w:val="18"/>
                <w:szCs w:val="18"/>
              </w:rPr>
            </w:pPr>
            <w:r>
              <w:rPr>
                <w:kern w:val="0"/>
                <w:sz w:val="18"/>
                <w:szCs w:val="18"/>
              </w:rPr>
              <w:t>机械设备</w:t>
            </w:r>
          </w:p>
        </w:tc>
        <w:tc>
          <w:tcPr>
            <w:tcW w:w="729" w:type="pct"/>
            <w:vAlign w:val="center"/>
          </w:tcPr>
          <w:p>
            <w:pPr>
              <w:pStyle w:val="52"/>
              <w:rPr>
                <w:kern w:val="0"/>
                <w:sz w:val="18"/>
                <w:szCs w:val="18"/>
              </w:rPr>
            </w:pPr>
            <w:r>
              <w:rPr>
                <w:kern w:val="0"/>
                <w:sz w:val="18"/>
                <w:szCs w:val="18"/>
              </w:rPr>
              <w:t>设备噪声</w:t>
            </w:r>
          </w:p>
        </w:tc>
        <w:tc>
          <w:tcPr>
            <w:tcW w:w="1719" w:type="pct"/>
            <w:vAlign w:val="center"/>
          </w:tcPr>
          <w:p>
            <w:pPr>
              <w:pStyle w:val="52"/>
              <w:rPr>
                <w:kern w:val="0"/>
                <w:sz w:val="18"/>
                <w:szCs w:val="18"/>
              </w:rPr>
            </w:pPr>
            <w:r>
              <w:rPr>
                <w:kern w:val="0"/>
                <w:sz w:val="18"/>
                <w:szCs w:val="18"/>
              </w:rPr>
              <w:t>选用低噪声设备、减振、隔声等</w:t>
            </w:r>
          </w:p>
        </w:tc>
        <w:tc>
          <w:tcPr>
            <w:tcW w:w="1541" w:type="pct"/>
            <w:vAlign w:val="center"/>
          </w:tcPr>
          <w:p>
            <w:pPr>
              <w:pStyle w:val="52"/>
              <w:rPr>
                <w:kern w:val="0"/>
                <w:sz w:val="18"/>
                <w:szCs w:val="18"/>
              </w:rPr>
            </w:pPr>
            <w:r>
              <w:rPr>
                <w:kern w:val="0"/>
                <w:sz w:val="18"/>
                <w:szCs w:val="18"/>
              </w:rPr>
              <w:t>选用低噪声设备、减振、隔声等</w:t>
            </w:r>
          </w:p>
        </w:tc>
      </w:tr>
    </w:tbl>
    <w:p>
      <w:pPr>
        <w:pStyle w:val="3"/>
        <w:numPr>
          <w:ilvl w:val="0"/>
          <w:numId w:val="5"/>
        </w:numPr>
      </w:pPr>
      <w:bookmarkStart w:id="548" w:name="_Toc27597"/>
      <w:bookmarkStart w:id="549" w:name="_Toc6884"/>
      <w:bookmarkStart w:id="550" w:name="_Toc24373"/>
      <w:bookmarkStart w:id="551" w:name="_Toc5526"/>
      <w:bookmarkStart w:id="552" w:name="_Toc1256"/>
      <w:bookmarkStart w:id="553" w:name="_Toc16921"/>
      <w:bookmarkStart w:id="554" w:name="_Toc13078_WPSOffice_Level1"/>
      <w:bookmarkStart w:id="555" w:name="_Toc508787711"/>
      <w:bookmarkStart w:id="556" w:name="_Toc6698_WPSOffice_Level1"/>
      <w:bookmarkStart w:id="557" w:name="_Toc4222"/>
      <w:bookmarkStart w:id="558" w:name="_Toc27510_WPSOffice_Level1"/>
      <w:bookmarkStart w:id="559" w:name="_Toc1598"/>
      <w:bookmarkStart w:id="560" w:name="_Toc24453"/>
      <w:bookmarkStart w:id="561" w:name="_Toc10976"/>
      <w:bookmarkStart w:id="562" w:name="_Toc29943"/>
      <w:bookmarkStart w:id="563" w:name="_Toc27149"/>
      <w:bookmarkStart w:id="564" w:name="_Toc27826"/>
      <w:bookmarkStart w:id="565" w:name="_Toc7534_WPSOffice_Level1"/>
      <w:bookmarkStart w:id="566" w:name="_Toc24379"/>
      <w:bookmarkStart w:id="567" w:name="_Toc26770"/>
      <w:bookmarkStart w:id="568" w:name="_Toc23680"/>
      <w:bookmarkStart w:id="569" w:name="_Toc9651"/>
      <w:bookmarkStart w:id="570" w:name="_Toc19621"/>
      <w:bookmarkStart w:id="571" w:name="_Toc28263"/>
      <w:bookmarkStart w:id="572" w:name="_Toc1751"/>
      <w:bookmarkStart w:id="573" w:name="_Toc20460"/>
      <w:bookmarkStart w:id="574" w:name="_Toc14470_WPSOffice_Level1"/>
      <w:r>
        <w:t>建设项目环评报告表主要结论及审批部门审批决定</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bookmarkEnd w:id="574"/>
    <w:p>
      <w:pPr>
        <w:pStyle w:val="4"/>
      </w:pPr>
      <w:bookmarkStart w:id="575" w:name="_Toc508787712"/>
      <w:bookmarkStart w:id="576" w:name="_Toc14829"/>
      <w:bookmarkStart w:id="577" w:name="_Toc1911"/>
      <w:bookmarkStart w:id="578" w:name="_Toc20095"/>
      <w:bookmarkStart w:id="579" w:name="_Toc22530"/>
      <w:bookmarkStart w:id="580" w:name="_Toc20594"/>
      <w:bookmarkStart w:id="581" w:name="_Toc21381"/>
      <w:bookmarkStart w:id="582" w:name="_Toc28982"/>
      <w:bookmarkStart w:id="583" w:name="_Toc1955"/>
      <w:bookmarkStart w:id="584" w:name="_Toc2621"/>
      <w:bookmarkStart w:id="585" w:name="_Toc2080"/>
      <w:bookmarkStart w:id="586" w:name="_Toc405546969"/>
      <w:bookmarkStart w:id="587" w:name="_Toc11784"/>
      <w:bookmarkStart w:id="588" w:name="_Toc6455"/>
      <w:bookmarkStart w:id="589" w:name="_Toc21123"/>
      <w:bookmarkStart w:id="590" w:name="_Toc17895"/>
      <w:bookmarkStart w:id="591" w:name="_Toc27194"/>
      <w:bookmarkStart w:id="592" w:name="_Toc13731_WPSOffice_Level2"/>
      <w:bookmarkStart w:id="593" w:name="_Toc18048"/>
      <w:bookmarkStart w:id="594" w:name="_Toc9268_WPSOffice_Level2"/>
      <w:bookmarkStart w:id="595" w:name="_Toc11783_WPSOffice_Level2"/>
      <w:bookmarkStart w:id="596" w:name="_Toc15057_WPSOffice_Level2"/>
      <w:bookmarkStart w:id="597" w:name="_Toc27977"/>
      <w:bookmarkStart w:id="598" w:name="_Toc25133"/>
      <w:bookmarkStart w:id="599" w:name="_Toc11168"/>
      <w:bookmarkStart w:id="600" w:name="_Toc9813_WPSOffice_Level2"/>
      <w:bookmarkStart w:id="601" w:name="_Toc3803"/>
      <w:bookmarkStart w:id="602" w:name="_Toc27312"/>
      <w:r>
        <w:t>5.1建设项目环评报告表主要结论与建议</w:t>
      </w:r>
      <w:bookmarkStart w:id="603" w:name="_Toc383515631"/>
      <w:bookmarkStart w:id="604" w:name="_Toc360356405"/>
      <w:r>
        <w:t>（摘自</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t>环评</w:t>
      </w:r>
      <w:bookmarkEnd w:id="592"/>
      <w:bookmarkEnd w:id="593"/>
      <w:bookmarkEnd w:id="594"/>
      <w:bookmarkEnd w:id="595"/>
      <w:bookmarkEnd w:id="596"/>
      <w:bookmarkEnd w:id="597"/>
      <w:bookmarkEnd w:id="598"/>
      <w:bookmarkEnd w:id="599"/>
      <w:bookmarkEnd w:id="600"/>
      <w:r>
        <w:t>报告表）</w:t>
      </w:r>
      <w:bookmarkEnd w:id="601"/>
      <w:bookmarkEnd w:id="602"/>
    </w:p>
    <w:p>
      <w:pPr>
        <w:widowControl/>
        <w:ind w:firstLine="482"/>
        <w:jc w:val="left"/>
        <w:rPr>
          <w:b/>
          <w:bCs/>
        </w:rPr>
      </w:pPr>
      <w:r>
        <w:rPr>
          <w:b/>
          <w:bCs/>
        </w:rPr>
        <w:t>1、项目基本情况</w:t>
      </w:r>
    </w:p>
    <w:p>
      <w:pPr>
        <w:ind w:firstLine="480"/>
      </w:pPr>
      <w:r>
        <w:rPr>
          <w:rFonts w:hint="eastAsia"/>
          <w:color w:val="000000"/>
        </w:rPr>
        <w:t>山东德勤智能设备有限公司</w:t>
      </w:r>
      <w:r>
        <w:rPr>
          <w:color w:val="000000"/>
        </w:rPr>
        <w:t>租赁厂区</w:t>
      </w:r>
      <w:r>
        <w:rPr>
          <w:rFonts w:hint="eastAsia"/>
          <w:color w:val="000000"/>
        </w:rPr>
        <w:t>7761m</w:t>
      </w:r>
      <w:r>
        <w:rPr>
          <w:rFonts w:hint="eastAsia"/>
          <w:color w:val="000000"/>
          <w:vertAlign w:val="superscript"/>
        </w:rPr>
        <w:t>2</w:t>
      </w:r>
      <w:r>
        <w:rPr>
          <w:color w:val="000000"/>
        </w:rPr>
        <w:t>，投资</w:t>
      </w:r>
      <w:r>
        <w:rPr>
          <w:rFonts w:hint="eastAsia"/>
          <w:color w:val="000000"/>
        </w:rPr>
        <w:t>4386.3万元</w:t>
      </w:r>
      <w:r>
        <w:rPr>
          <w:color w:val="000000"/>
          <w:kern w:val="0"/>
        </w:rPr>
        <w:t>开展</w:t>
      </w:r>
      <w:r>
        <w:rPr>
          <w:rFonts w:hint="eastAsia"/>
          <w:color w:val="000000"/>
          <w:kern w:val="0"/>
        </w:rPr>
        <w:t>智能木业机械设备制造项目</w:t>
      </w:r>
      <w:r>
        <w:rPr>
          <w:color w:val="000000"/>
          <w:kern w:val="0"/>
        </w:rPr>
        <w:t>，</w:t>
      </w:r>
      <w:r>
        <w:rPr>
          <w:color w:val="000000"/>
        </w:rPr>
        <w:t>购置</w:t>
      </w:r>
      <w:r>
        <w:t>激光切割机、全自动激光除锈机、智能切割机、智能焊接机器人等设备，对铝型材进行加工处理，项目完成后年产2万吨</w:t>
      </w:r>
      <w:r>
        <w:rPr>
          <w:rFonts w:hint="eastAsia"/>
        </w:rPr>
        <w:t>智能木业机械设备制造</w:t>
      </w:r>
      <w:r>
        <w:t>。</w:t>
      </w:r>
    </w:p>
    <w:p>
      <w:pPr>
        <w:pStyle w:val="33"/>
        <w:autoSpaceDE/>
        <w:autoSpaceDN/>
        <w:adjustRightInd/>
        <w:snapToGrid/>
        <w:ind w:firstLine="480"/>
        <w:textAlignment w:val="auto"/>
        <w:rPr>
          <w:color w:val="000000"/>
          <w:szCs w:val="24"/>
        </w:rPr>
      </w:pPr>
      <w:r>
        <w:rPr>
          <w:color w:val="000000"/>
          <w:szCs w:val="24"/>
        </w:rPr>
        <w:t>经对生产工艺、污染治理措施、周围环境状况、项目的环境影响等综合分析得出以下评价结论：</w:t>
      </w:r>
    </w:p>
    <w:p>
      <w:pPr>
        <w:ind w:firstLine="480"/>
        <w:rPr>
          <w:color w:val="000000"/>
          <w:kern w:val="0"/>
        </w:rPr>
      </w:pPr>
      <w:r>
        <w:rPr>
          <w:rFonts w:hint="eastAsia"/>
          <w:color w:val="000000"/>
          <w:kern w:val="0"/>
        </w:rPr>
        <w:t>拟建项目符合国家及地方产业政策要求，符合峄城区城市总体规划，不在山东省生态保护红线规划范围内，符合“三线一单”管控要求；符合省、市相关环保管理要求；在采取污染防治、落实环境风险防范措施后，各类污染物均可稳定达标排放，固体废物得到妥善处置，满足污染物排放总量控制要求，风险能够有效控制，综上分析，在全面落实本报告表提出的各项环保措施前提下，从环保角度而言，项目建设是可行的。</w:t>
      </w:r>
    </w:p>
    <w:p>
      <w:pPr>
        <w:widowControl/>
        <w:ind w:firstLine="482"/>
        <w:jc w:val="left"/>
        <w:rPr>
          <w:b/>
          <w:bCs/>
        </w:rPr>
      </w:pPr>
      <w:r>
        <w:rPr>
          <w:rFonts w:hint="eastAsia"/>
          <w:b/>
          <w:bCs/>
        </w:rPr>
        <w:t>2</w:t>
      </w:r>
      <w:r>
        <w:rPr>
          <w:b/>
          <w:bCs/>
        </w:rPr>
        <w:t>、</w:t>
      </w:r>
      <w:r>
        <w:rPr>
          <w:rFonts w:hint="eastAsia"/>
          <w:b/>
          <w:bCs/>
        </w:rPr>
        <w:t>污染防治设施要求</w:t>
      </w:r>
    </w:p>
    <w:tbl>
      <w:tblPr>
        <w:tblStyle w:val="3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1239"/>
        <w:gridCol w:w="930"/>
        <w:gridCol w:w="2325"/>
        <w:gridCol w:w="3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12" w:type="pct"/>
            <w:tcBorders>
              <w:tl2br w:val="single" w:color="auto" w:sz="4" w:space="0"/>
            </w:tcBorders>
          </w:tcPr>
          <w:p>
            <w:pPr>
              <w:spacing w:line="320" w:lineRule="exact"/>
              <w:jc w:val="right"/>
              <w:rPr>
                <w:rFonts w:ascii="宋体" w:hAnsi="宋体" w:cs="宋体"/>
                <w:sz w:val="21"/>
                <w:szCs w:val="21"/>
              </w:rPr>
            </w:pPr>
            <w:r>
              <w:rPr>
                <w:rFonts w:hint="eastAsia" w:ascii="宋体" w:hAnsi="宋体" w:cs="宋体"/>
                <w:sz w:val="21"/>
                <w:szCs w:val="21"/>
              </w:rPr>
              <w:t>内容</w:t>
            </w:r>
          </w:p>
          <w:p>
            <w:pPr>
              <w:spacing w:line="320" w:lineRule="exact"/>
              <w:rPr>
                <w:rFonts w:ascii="宋体" w:hAnsi="宋体" w:cs="宋体"/>
                <w:sz w:val="21"/>
                <w:szCs w:val="21"/>
              </w:rPr>
            </w:pPr>
          </w:p>
          <w:p>
            <w:pPr>
              <w:spacing w:line="320" w:lineRule="exact"/>
              <w:ind w:firstLine="0" w:firstLineChars="0"/>
              <w:rPr>
                <w:rFonts w:ascii="宋体" w:hAnsi="宋体" w:cs="宋体"/>
                <w:sz w:val="21"/>
                <w:szCs w:val="21"/>
              </w:rPr>
            </w:pPr>
            <w:r>
              <w:rPr>
                <w:rFonts w:hint="eastAsia" w:ascii="宋体" w:hAnsi="宋体" w:cs="宋体"/>
                <w:sz w:val="21"/>
                <w:szCs w:val="21"/>
              </w:rPr>
              <w:t>要素</w:t>
            </w: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排放口(编号、名称)/污染源</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污染物项目</w:t>
            </w:r>
          </w:p>
        </w:tc>
        <w:tc>
          <w:tcPr>
            <w:tcW w:w="1208"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环境保护措施</w:t>
            </w:r>
          </w:p>
        </w:tc>
        <w:tc>
          <w:tcPr>
            <w:tcW w:w="1952"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Merge w:val="restart"/>
            <w:vAlign w:val="center"/>
          </w:tcPr>
          <w:p>
            <w:pPr>
              <w:ind w:firstLine="0" w:firstLineChars="0"/>
              <w:rPr>
                <w:rFonts w:ascii="宋体" w:hAnsi="宋体" w:cs="宋体"/>
                <w:sz w:val="21"/>
                <w:szCs w:val="21"/>
              </w:rPr>
            </w:pPr>
            <w:r>
              <w:rPr>
                <w:rFonts w:hint="eastAsia" w:ascii="宋体" w:hAnsi="宋体" w:cs="宋体"/>
                <w:sz w:val="21"/>
                <w:szCs w:val="21"/>
              </w:rPr>
              <w:t>大气环境</w:t>
            </w: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DA001</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颗粒物</w:t>
            </w:r>
          </w:p>
        </w:tc>
        <w:tc>
          <w:tcPr>
            <w:tcW w:w="1208"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布袋除尘器+15m高排气筒（DA001）</w:t>
            </w:r>
          </w:p>
        </w:tc>
        <w:tc>
          <w:tcPr>
            <w:tcW w:w="1952"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《区域性大气污染物综合排放标准》（DB37/2376-2019）表1“重点控制区”排放浓度限制；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Merge w:val="continue"/>
            <w:vAlign w:val="center"/>
          </w:tcPr>
          <w:p>
            <w:pPr>
              <w:ind w:firstLine="0" w:firstLineChars="0"/>
              <w:rPr>
                <w:rFonts w:ascii="宋体" w:hAnsi="宋体" w:cs="宋体"/>
                <w:sz w:val="21"/>
                <w:szCs w:val="21"/>
              </w:rPr>
            </w:pP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DA002</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颗粒物</w:t>
            </w:r>
          </w:p>
        </w:tc>
        <w:tc>
          <w:tcPr>
            <w:tcW w:w="1208"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旋风滤芯回收系统+布袋除尘器+15m高排气筒（DA002）</w:t>
            </w:r>
          </w:p>
        </w:tc>
        <w:tc>
          <w:tcPr>
            <w:tcW w:w="1952"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《区域性大气污染物综合排放标准》（DB37/2376-2019）表1“重点控制区”排放浓度限制；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Merge w:val="continue"/>
            <w:vAlign w:val="center"/>
          </w:tcPr>
          <w:p>
            <w:pPr>
              <w:ind w:firstLine="0" w:firstLineChars="0"/>
              <w:rPr>
                <w:rFonts w:ascii="宋体" w:hAnsi="宋体" w:cs="宋体"/>
                <w:sz w:val="21"/>
                <w:szCs w:val="21"/>
              </w:rPr>
            </w:pP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DA003</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颗粒物、VOCs</w:t>
            </w:r>
          </w:p>
        </w:tc>
        <w:tc>
          <w:tcPr>
            <w:tcW w:w="1208"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干式过滤+活性炭吸附浓缩+催化燃烧+15m高排气筒（DA003）</w:t>
            </w:r>
          </w:p>
        </w:tc>
        <w:tc>
          <w:tcPr>
            <w:tcW w:w="1952"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《区域性大气污染物综合排放标准》（DB37/2376-2019）表1“重点控制区”排放浓度限制；《挥发性有机物排放标准 第5部分：表面涂装行业》（DB37/2801.5-2018）表2排放限值。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Merge w:val="continue"/>
            <w:vAlign w:val="center"/>
          </w:tcPr>
          <w:p>
            <w:pPr>
              <w:ind w:firstLine="0" w:firstLineChars="0"/>
              <w:rPr>
                <w:rFonts w:ascii="宋体" w:hAnsi="宋体" w:cs="宋体"/>
                <w:sz w:val="21"/>
                <w:szCs w:val="21"/>
              </w:rPr>
            </w:pP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厂区内</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VOCs</w:t>
            </w:r>
          </w:p>
        </w:tc>
        <w:tc>
          <w:tcPr>
            <w:tcW w:w="1208"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加强车间通风</w:t>
            </w:r>
          </w:p>
        </w:tc>
        <w:tc>
          <w:tcPr>
            <w:tcW w:w="1952"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VOCs厂区内无组织排放执行《挥发性有机物无组织排放控制标准》（GB37822-2019）附录A表A.1排放限值（10 mg/m3）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Merge w:val="continue"/>
            <w:vAlign w:val="center"/>
          </w:tcPr>
          <w:p>
            <w:pPr>
              <w:ind w:firstLine="0" w:firstLineChars="0"/>
              <w:rPr>
                <w:rFonts w:ascii="宋体" w:hAnsi="宋体" w:cs="宋体"/>
                <w:sz w:val="21"/>
                <w:szCs w:val="21"/>
              </w:rPr>
            </w:pP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厂界</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颗粒物、VOCs</w:t>
            </w:r>
          </w:p>
        </w:tc>
        <w:tc>
          <w:tcPr>
            <w:tcW w:w="1208"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加强车间通风</w:t>
            </w:r>
          </w:p>
        </w:tc>
        <w:tc>
          <w:tcPr>
            <w:tcW w:w="1952"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颗粒物无组织排放执行《大气污染物综合排放标准》（GB16297-1996）表2二级标准；VOCs无组织排放执行山东省地方标准《挥发性有机物排放标准 第5部分：表面涂装行业》（DB37/2801.5-2018）表3厂界监控点浓度限值（2.0mg/m3）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地表水环境</w:t>
            </w:r>
          </w:p>
        </w:tc>
        <w:tc>
          <w:tcPr>
            <w:tcW w:w="4287" w:type="pct"/>
            <w:gridSpan w:val="4"/>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声环境</w:t>
            </w:r>
          </w:p>
        </w:tc>
        <w:tc>
          <w:tcPr>
            <w:tcW w:w="644"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设备噪声</w:t>
            </w:r>
          </w:p>
        </w:tc>
        <w:tc>
          <w:tcPr>
            <w:tcW w:w="483" w:type="pct"/>
            <w:vAlign w:val="center"/>
          </w:tcPr>
          <w:p>
            <w:pPr>
              <w:spacing w:line="320" w:lineRule="exact"/>
              <w:ind w:firstLine="0" w:firstLineChars="0"/>
              <w:jc w:val="center"/>
              <w:rPr>
                <w:rFonts w:ascii="宋体" w:hAnsi="宋体" w:cs="宋体"/>
                <w:sz w:val="21"/>
                <w:szCs w:val="21"/>
              </w:rPr>
            </w:pPr>
            <w:r>
              <w:rPr>
                <w:rFonts w:hint="eastAsia" w:ascii="宋体" w:hAnsi="宋体" w:cs="宋体"/>
                <w:sz w:val="21"/>
                <w:szCs w:val="21"/>
              </w:rPr>
              <w:t>Leq</w:t>
            </w:r>
          </w:p>
        </w:tc>
        <w:tc>
          <w:tcPr>
            <w:tcW w:w="1208"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选用低噪声设备、减振、隔声等</w:t>
            </w:r>
          </w:p>
        </w:tc>
        <w:tc>
          <w:tcPr>
            <w:tcW w:w="1952" w:type="pct"/>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《工业企业厂界环境噪声排放标准》（GB12348-2008）中的2类功能区标准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电磁辐射</w:t>
            </w:r>
          </w:p>
        </w:tc>
        <w:tc>
          <w:tcPr>
            <w:tcW w:w="4287" w:type="pct"/>
            <w:gridSpan w:val="4"/>
            <w:vAlign w:val="center"/>
          </w:tcPr>
          <w:p>
            <w:pPr>
              <w:ind w:firstLine="0" w:firstLineChars="0"/>
              <w:rPr>
                <w:rFonts w:ascii="宋体" w:hAnsi="宋体" w:cs="宋体"/>
                <w:sz w:val="21"/>
                <w:szCs w:val="21"/>
              </w:rPr>
            </w:pPr>
            <w:r>
              <w:rPr>
                <w:rFonts w:hint="eastAsia" w:ascii="宋体" w:hAnsi="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固体废物</w:t>
            </w:r>
          </w:p>
        </w:tc>
        <w:tc>
          <w:tcPr>
            <w:tcW w:w="4287" w:type="pct"/>
            <w:gridSpan w:val="4"/>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设置一般工业固体废物暂存间和危险废物暂存间，一般固废暂存间设置符合《一般工业固体废物贮存和填埋污染控制标准》（GB18599-2020）、危废间建设满足《危险废物贮存污染控制标准》（GB18597-2023）要求；建立固体废物台账，如实记载产生固体废物的种类、数量、流向、贮存、利用处置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土壤及地下水污染防治措施</w:t>
            </w:r>
          </w:p>
        </w:tc>
        <w:tc>
          <w:tcPr>
            <w:tcW w:w="4287" w:type="pct"/>
            <w:gridSpan w:val="4"/>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一般防渗区应满足等效黏土防渗层Mb≥1.5m，K≤1×10-7cm/s技术要求；重点防渗区应满足等效黏土防渗层Mb≥6.0m，K≤1×10-7cm/s技术要求。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生态保护措施</w:t>
            </w:r>
          </w:p>
        </w:tc>
        <w:tc>
          <w:tcPr>
            <w:tcW w:w="4287" w:type="pct"/>
            <w:gridSpan w:val="4"/>
            <w:vAlign w:val="center"/>
          </w:tcPr>
          <w:p>
            <w:pPr>
              <w:ind w:firstLine="0" w:firstLineChars="0"/>
              <w:rPr>
                <w:rFonts w:ascii="宋体" w:hAnsi="宋体" w:cs="宋体"/>
                <w:sz w:val="21"/>
                <w:szCs w:val="21"/>
              </w:rPr>
            </w:pPr>
            <w:r>
              <w:rPr>
                <w:rFonts w:hint="eastAsia" w:ascii="宋体" w:hAnsi="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环境风险</w:t>
            </w:r>
          </w:p>
          <w:p>
            <w:pPr>
              <w:ind w:firstLine="0" w:firstLineChars="0"/>
              <w:rPr>
                <w:rFonts w:ascii="宋体" w:hAnsi="宋体" w:cs="宋体"/>
                <w:sz w:val="21"/>
                <w:szCs w:val="21"/>
              </w:rPr>
            </w:pPr>
            <w:r>
              <w:rPr>
                <w:rFonts w:hint="eastAsia" w:ascii="宋体" w:hAnsi="宋体" w:cs="宋体"/>
                <w:sz w:val="21"/>
                <w:szCs w:val="21"/>
              </w:rPr>
              <w:t>防范措施</w:t>
            </w:r>
          </w:p>
        </w:tc>
        <w:tc>
          <w:tcPr>
            <w:tcW w:w="4287" w:type="pct"/>
            <w:gridSpan w:val="4"/>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①危险废物暂存间严格落实防渗措施，保证阴凉通风，远离火种、热源。库温不超过32℃，相对湿度不超过80%，切忌与其他易燃物混储。采用防爆型照明、通风设施。②定期检修设备，加强泄漏检验以消除设备内机油的滴漏，尽可能采用机械化自动化先进技术，以隔绝毒物与操作人员的接触。③电气设备检修，应清除电气设备内的尘土及异物，严禁带电作业。④灭火设施：厂区内应按照规范要求备足灭火器材及消防灭火沙等用品。消防器材要做到“三保证”，即一保证数量充足，二保证种类齐全，三保证使用有效。⑤加大培训力度，提高员工素质，增加安全意识：高素质的员工对待安全的问题时能充分发挥主观能动性，为企业的发展提供保障。所以，应该注重对员工的培训和学习，开展安全教育和消防演练，使员工熟练掌握各种消防器材的使用方法和基本灭火技能，牢固树立“安全第一、预防为主”的意识，自觉遵守规章制度，从而避免由于人为因素而引发的火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pct"/>
            <w:vAlign w:val="center"/>
          </w:tcPr>
          <w:p>
            <w:pPr>
              <w:ind w:firstLine="0" w:firstLineChars="0"/>
              <w:rPr>
                <w:rFonts w:ascii="宋体" w:hAnsi="宋体" w:cs="宋体"/>
                <w:sz w:val="21"/>
                <w:szCs w:val="21"/>
              </w:rPr>
            </w:pPr>
            <w:r>
              <w:rPr>
                <w:rFonts w:hint="eastAsia" w:ascii="宋体" w:hAnsi="宋体" w:cs="宋体"/>
                <w:sz w:val="21"/>
                <w:szCs w:val="21"/>
              </w:rPr>
              <w:t>其他环境</w:t>
            </w:r>
          </w:p>
          <w:p>
            <w:pPr>
              <w:ind w:firstLine="0" w:firstLineChars="0"/>
              <w:rPr>
                <w:rFonts w:ascii="宋体" w:hAnsi="宋体" w:cs="宋体"/>
                <w:sz w:val="21"/>
                <w:szCs w:val="21"/>
              </w:rPr>
            </w:pPr>
            <w:r>
              <w:rPr>
                <w:rFonts w:hint="eastAsia" w:ascii="宋体" w:hAnsi="宋体" w:cs="宋体"/>
                <w:sz w:val="21"/>
                <w:szCs w:val="21"/>
              </w:rPr>
              <w:t>管理要求</w:t>
            </w:r>
          </w:p>
        </w:tc>
        <w:tc>
          <w:tcPr>
            <w:tcW w:w="4287" w:type="pct"/>
            <w:gridSpan w:val="4"/>
            <w:vAlign w:val="center"/>
          </w:tcPr>
          <w:p>
            <w:pPr>
              <w:spacing w:line="320" w:lineRule="exact"/>
              <w:ind w:firstLine="0" w:firstLineChars="0"/>
              <w:jc w:val="left"/>
              <w:rPr>
                <w:rFonts w:ascii="宋体" w:hAnsi="宋体" w:cs="宋体"/>
                <w:sz w:val="21"/>
                <w:szCs w:val="21"/>
              </w:rPr>
            </w:pPr>
            <w:r>
              <w:rPr>
                <w:rFonts w:hint="eastAsia" w:ascii="宋体" w:hAnsi="宋体" w:cs="宋体"/>
                <w:sz w:val="21"/>
                <w:szCs w:val="21"/>
              </w:rPr>
              <w:t>严格执行三同时制度，在产生实际排污之前应按照固定污染源排污许可分类管理名录（2019年版）、行业排污许可证申请与核发技术规范等要求办理排污许可证或进行登记管理，正式运行后应按照排污许可证的相关要求填报管理台账、执行报告等并严格落实监测计划的相关要求。</w:t>
            </w:r>
          </w:p>
        </w:tc>
      </w:tr>
    </w:tbl>
    <w:p>
      <w:pPr>
        <w:ind w:firstLine="482"/>
        <w:rPr>
          <w:b/>
          <w:bCs/>
        </w:rPr>
      </w:pPr>
      <w:r>
        <w:rPr>
          <w:rFonts w:hint="eastAsia"/>
          <w:b/>
          <w:bCs/>
        </w:rPr>
        <w:t>3</w:t>
      </w:r>
      <w:r>
        <w:rPr>
          <w:b/>
          <w:bCs/>
        </w:rPr>
        <w:t>、环境质量现状</w:t>
      </w:r>
    </w:p>
    <w:p>
      <w:pPr>
        <w:ind w:firstLine="480"/>
      </w:pPr>
      <w:r>
        <w:t>(1) 环境空气</w:t>
      </w:r>
    </w:p>
    <w:p>
      <w:pPr>
        <w:widowControl/>
        <w:ind w:firstLine="480"/>
        <w:contextualSpacing/>
      </w:pPr>
      <w:r>
        <w:rPr>
          <w:snapToGrid w:val="0"/>
          <w:kern w:val="0"/>
        </w:rPr>
        <w:t>20</w:t>
      </w:r>
      <w:r>
        <w:rPr>
          <w:rFonts w:hint="eastAsia"/>
          <w:snapToGrid w:val="0"/>
          <w:kern w:val="0"/>
        </w:rPr>
        <w:t>21</w:t>
      </w:r>
      <w:r>
        <w:rPr>
          <w:snapToGrid w:val="0"/>
          <w:kern w:val="0"/>
        </w:rPr>
        <w:t>年枣庄市</w:t>
      </w:r>
      <w:r>
        <w:rPr>
          <w:rFonts w:hint="eastAsia"/>
        </w:rPr>
        <w:t>峄城区</w:t>
      </w:r>
      <w:r>
        <w:rPr>
          <w:snapToGrid w:val="0"/>
          <w:kern w:val="0"/>
        </w:rPr>
        <w:t>空气监测因子SO</w:t>
      </w:r>
      <w:r>
        <w:rPr>
          <w:snapToGrid w:val="0"/>
          <w:kern w:val="0"/>
          <w:vertAlign w:val="subscript"/>
        </w:rPr>
        <w:t>2</w:t>
      </w:r>
      <w:r>
        <w:rPr>
          <w:snapToGrid w:val="0"/>
          <w:kern w:val="0"/>
        </w:rPr>
        <w:t>、NO</w:t>
      </w:r>
      <w:r>
        <w:rPr>
          <w:snapToGrid w:val="0"/>
          <w:kern w:val="0"/>
          <w:vertAlign w:val="subscript"/>
        </w:rPr>
        <w:t>2</w:t>
      </w:r>
      <w:r>
        <w:rPr>
          <w:rFonts w:hint="eastAsia"/>
          <w:snapToGrid w:val="0"/>
          <w:kern w:val="0"/>
        </w:rPr>
        <w:t>、CO年均</w:t>
      </w:r>
      <w:r>
        <w:rPr>
          <w:snapToGrid w:val="0"/>
          <w:kern w:val="0"/>
        </w:rPr>
        <w:t>浓度值均满足《环境空气质量标准》（GB3095-2012）及其修改单二级标准要求，PM</w:t>
      </w:r>
      <w:r>
        <w:rPr>
          <w:snapToGrid w:val="0"/>
          <w:kern w:val="0"/>
          <w:vertAlign w:val="subscript"/>
        </w:rPr>
        <w:t>2.5</w:t>
      </w:r>
      <w:r>
        <w:rPr>
          <w:snapToGrid w:val="0"/>
          <w:kern w:val="0"/>
        </w:rPr>
        <w:t>、PM</w:t>
      </w:r>
      <w:r>
        <w:rPr>
          <w:snapToGrid w:val="0"/>
          <w:kern w:val="0"/>
          <w:vertAlign w:val="subscript"/>
        </w:rPr>
        <w:t>10</w:t>
      </w:r>
      <w:r>
        <w:rPr>
          <w:rFonts w:hint="eastAsia"/>
          <w:snapToGrid w:val="0"/>
          <w:kern w:val="0"/>
        </w:rPr>
        <w:t>、O</w:t>
      </w:r>
      <w:r>
        <w:rPr>
          <w:rFonts w:hint="eastAsia"/>
          <w:snapToGrid w:val="0"/>
          <w:kern w:val="0"/>
          <w:vertAlign w:val="subscript"/>
        </w:rPr>
        <w:t>3</w:t>
      </w:r>
      <w:r>
        <w:rPr>
          <w:snapToGrid w:val="0"/>
          <w:kern w:val="0"/>
        </w:rPr>
        <w:t>浓度值均不能满足环境空气质量二级标准要求。</w:t>
      </w:r>
      <w:r>
        <w:rPr>
          <w:rFonts w:hint="eastAsia"/>
          <w:snapToGrid w:val="0"/>
          <w:kern w:val="0"/>
        </w:rPr>
        <w:t>其中</w:t>
      </w:r>
      <w:r>
        <w:rPr>
          <w:snapToGrid w:val="0"/>
          <w:kern w:val="0"/>
        </w:rPr>
        <w:t>PM</w:t>
      </w:r>
      <w:r>
        <w:rPr>
          <w:snapToGrid w:val="0"/>
          <w:kern w:val="0"/>
          <w:vertAlign w:val="subscript"/>
        </w:rPr>
        <w:t>2.5</w:t>
      </w:r>
      <w:r>
        <w:rPr>
          <w:snapToGrid w:val="0"/>
          <w:kern w:val="0"/>
        </w:rPr>
        <w:t>、PM</w:t>
      </w:r>
      <w:r>
        <w:rPr>
          <w:snapToGrid w:val="0"/>
          <w:kern w:val="0"/>
          <w:vertAlign w:val="subscript"/>
        </w:rPr>
        <w:t>10</w:t>
      </w:r>
      <w:r>
        <w:rPr>
          <w:snapToGrid w:val="0"/>
          <w:kern w:val="0"/>
        </w:rPr>
        <w:t>超标主要原因为煤炭仍是主要能源、机动车增加和城市建设道路扩建，加上空气干燥，容易引起扬尘。</w:t>
      </w:r>
      <w:r>
        <w:t>O</w:t>
      </w:r>
      <w:r>
        <w:rPr>
          <w:vertAlign w:val="subscript"/>
        </w:rPr>
        <w:t>3</w:t>
      </w:r>
      <w:r>
        <w:t>超标原因比较复杂，内因是氮氧化物和挥发性有机物排放，在空气中进行复杂的光化学反应形成，外因则是高温、强太阳辐射等气象条件加快了反应的进行。</w:t>
      </w:r>
    </w:p>
    <w:p>
      <w:pPr>
        <w:ind w:firstLine="480"/>
      </w:pPr>
      <w:r>
        <w:t>(2) 地表水</w:t>
      </w:r>
    </w:p>
    <w:p>
      <w:pPr>
        <w:ind w:firstLine="480"/>
        <w:rPr>
          <w:color w:val="000000"/>
        </w:rPr>
      </w:pPr>
      <w:r>
        <w:t>根据《枣庄市环境质量报告》(20</w:t>
      </w:r>
      <w:r>
        <w:rPr>
          <w:rFonts w:hint="eastAsia"/>
        </w:rPr>
        <w:t>21</w:t>
      </w:r>
      <w:r>
        <w:t>年简本) ，</w:t>
      </w:r>
      <w:r>
        <w:rPr>
          <w:rFonts w:cs="宋体"/>
        </w:rPr>
        <w:t>贾庄闸断面的例行监测数据总氮年均值超标，其余</w:t>
      </w:r>
      <w:r>
        <w:rPr>
          <w:rFonts w:hint="eastAsia" w:cs="宋体"/>
        </w:rPr>
        <w:t>检测因子均</w:t>
      </w:r>
      <w:r>
        <w:rPr>
          <w:rFonts w:cs="宋体"/>
        </w:rPr>
        <w:t>可满足地表水(GB3838-2002)</w:t>
      </w:r>
      <w:r>
        <w:rPr>
          <w:rFonts w:hint="eastAsia" w:cs="宋体"/>
        </w:rPr>
        <w:t>Ⅲ</w:t>
      </w:r>
      <w:r>
        <w:rPr>
          <w:rFonts w:cs="宋体"/>
        </w:rPr>
        <w:t>类水质标准，水质较好。总氮超标的主要原因</w:t>
      </w:r>
      <w:r>
        <w:rPr>
          <w:rFonts w:hint="eastAsia" w:cs="宋体"/>
        </w:rPr>
        <w:t>可能与</w:t>
      </w:r>
      <w:r>
        <w:rPr>
          <w:rFonts w:cs="宋体"/>
        </w:rPr>
        <w:t>居民生活污水、农业面源污染有关。</w:t>
      </w:r>
    </w:p>
    <w:p>
      <w:pPr>
        <w:ind w:firstLine="480"/>
      </w:pPr>
      <w:r>
        <w:t>(3) 地下水</w:t>
      </w:r>
    </w:p>
    <w:p>
      <w:pPr>
        <w:ind w:firstLine="480"/>
        <w:rPr>
          <w:color w:val="000000"/>
        </w:rPr>
      </w:pPr>
      <w:r>
        <w:t>根据枣庄市环境保护局《枣庄市环境质量报告》(20</w:t>
      </w:r>
      <w:r>
        <w:rPr>
          <w:rFonts w:hint="eastAsia"/>
        </w:rPr>
        <w:t>21</w:t>
      </w:r>
      <w:r>
        <w:t>年简本)，峄城区地下水（三里庄水源地）除总硬度外其他各项指标均符合《地下水质量标准》（GB/T14848-2017）中Ⅲ类水质要求，属于不达标区。总硬度超标主要是地质构造中岩石中的钙、镁等离子溶解在地下水中造成的。</w:t>
      </w:r>
    </w:p>
    <w:p>
      <w:pPr>
        <w:ind w:firstLine="480"/>
      </w:pPr>
      <w:r>
        <w:t>(4) 声环境</w:t>
      </w:r>
    </w:p>
    <w:p>
      <w:pPr>
        <w:ind w:firstLine="480"/>
        <w:rPr>
          <w:bCs/>
          <w:kern w:val="0"/>
        </w:rPr>
      </w:pPr>
      <w:r>
        <w:rPr>
          <w:bCs/>
          <w:kern w:val="0"/>
        </w:rPr>
        <w:t>该区域执行《声环境质量标准》（GB3096-2008）中的</w:t>
      </w:r>
      <w:r>
        <w:rPr>
          <w:rFonts w:hint="eastAsia"/>
          <w:bCs/>
          <w:kern w:val="0"/>
        </w:rPr>
        <w:t>2</w:t>
      </w:r>
      <w:r>
        <w:rPr>
          <w:bCs/>
          <w:kern w:val="0"/>
        </w:rPr>
        <w:t>类标准。由于项目厂界外50m范围内不存在声环境保护目标，未进行声环境质量现状监测。</w:t>
      </w:r>
    </w:p>
    <w:p>
      <w:pPr>
        <w:ind w:firstLine="480"/>
      </w:pPr>
      <w:r>
        <w:rPr>
          <w:rFonts w:hint="eastAsia"/>
        </w:rPr>
        <w:t>（</w:t>
      </w:r>
      <w:r>
        <w:t>5</w:t>
      </w:r>
      <w:r>
        <w:rPr>
          <w:rFonts w:hint="eastAsia"/>
        </w:rPr>
        <w:t>）</w:t>
      </w:r>
      <w:r>
        <w:t>生态环境</w:t>
      </w:r>
    </w:p>
    <w:p>
      <w:pPr>
        <w:ind w:firstLine="480"/>
      </w:pPr>
      <w:r>
        <w:t>本项目占地为工业用地，</w:t>
      </w:r>
      <w:r>
        <w:rPr>
          <w:rFonts w:hint="eastAsia"/>
        </w:rPr>
        <w:t>项目</w:t>
      </w:r>
      <w:r>
        <w:t>占地范围内受人类生产和生活活动的长期影响，已无自然植物及野生动物存在，不存在生态环境保护</w:t>
      </w:r>
      <w:r>
        <w:rPr>
          <w:rFonts w:hint="eastAsia"/>
        </w:rPr>
        <w:t>目标。</w:t>
      </w:r>
    </w:p>
    <w:p>
      <w:pPr>
        <w:ind w:firstLine="480"/>
      </w:pPr>
      <w:r>
        <w:rPr>
          <w:rFonts w:hint="eastAsia"/>
        </w:rPr>
        <w:t>（6）地下水、土壤环境</w:t>
      </w:r>
    </w:p>
    <w:p>
      <w:pPr>
        <w:ind w:firstLine="480"/>
        <w:rPr>
          <w:b/>
          <w:highlight w:val="red"/>
        </w:rPr>
      </w:pPr>
      <w:r>
        <w:t>本项目产生的废水主要</w:t>
      </w:r>
      <w:r>
        <w:rPr>
          <w:rFonts w:hint="eastAsia"/>
        </w:rPr>
        <w:t>为生活污水</w:t>
      </w:r>
      <w:r>
        <w:rPr>
          <w:rFonts w:hint="eastAsia"/>
          <w:kern w:val="0"/>
        </w:rPr>
        <w:t>，生活污水经化粪池处理后，由环卫部门定期清运不外排</w:t>
      </w:r>
      <w:r>
        <w:rPr>
          <w:kern w:val="0"/>
        </w:rPr>
        <w:t>，</w:t>
      </w:r>
      <w:r>
        <w:rPr>
          <w:rFonts w:hint="eastAsia"/>
          <w:kern w:val="0"/>
        </w:rPr>
        <w:t>危险废物主要为废切削液及桶、废机油及桶、废过滤纸、废活性炭、废催化剂，全部收集后暂存于危废暂存间内。厂区内构筑物在</w:t>
      </w:r>
      <w:r>
        <w:rPr>
          <w:kern w:val="0"/>
        </w:rPr>
        <w:t>落实地面防渗等环保措施后，对厂区地下水及土壤基本无影响。因此，此处不在开展地下水及土壤环境质量现状调查。</w:t>
      </w:r>
    </w:p>
    <w:p>
      <w:pPr>
        <w:ind w:firstLine="482"/>
        <w:rPr>
          <w:b/>
        </w:rPr>
      </w:pPr>
      <w:r>
        <w:rPr>
          <w:b/>
        </w:rPr>
        <w:t>5、环境影响分析结论</w:t>
      </w:r>
    </w:p>
    <w:p>
      <w:pPr>
        <w:pStyle w:val="70"/>
        <w:autoSpaceDE/>
        <w:autoSpaceDN/>
        <w:snapToGrid/>
        <w:spacing w:line="360" w:lineRule="auto"/>
        <w:ind w:firstLine="480"/>
        <w:jc w:val="both"/>
        <w:rPr>
          <w:kern w:val="2"/>
          <w:szCs w:val="24"/>
        </w:rPr>
      </w:pPr>
      <w:r>
        <w:rPr>
          <w:kern w:val="2"/>
          <w:szCs w:val="24"/>
        </w:rPr>
        <w:t>①大气环境影响分析结论</w:t>
      </w:r>
    </w:p>
    <w:p>
      <w:pPr>
        <w:ind w:firstLine="480"/>
      </w:pPr>
      <w:r>
        <w:t>（1）项目</w:t>
      </w:r>
      <w:r>
        <w:rPr>
          <w:rFonts w:hint="eastAsia"/>
        </w:rPr>
        <w:t>机加工废气、喷粉、喷漆</w:t>
      </w:r>
      <w:r>
        <w:t>工序产生的有组织颗粒物</w:t>
      </w:r>
      <w:r>
        <w:rPr>
          <w:rFonts w:hint="eastAsia"/>
        </w:rPr>
        <w:t>排放浓度</w:t>
      </w:r>
      <w:r>
        <w:t>执行《区域性大气污染物综合排放标准》（DB37/2376-2019）表1重点控制区标准要求；无组织颗粒物排放浓度执行《大气污染物综合排放标准》（GB16297-1996）表2监控浓度限值。</w:t>
      </w:r>
    </w:p>
    <w:p>
      <w:pPr>
        <w:ind w:firstLine="480"/>
      </w:pPr>
      <w:r>
        <w:t>（2）</w:t>
      </w:r>
      <w:r>
        <w:rPr>
          <w:rFonts w:hint="eastAsia"/>
        </w:rPr>
        <w:t>喷漆、固化、烘干</w:t>
      </w:r>
      <w:r>
        <w:t>工序产生的VOCs有组织排放</w:t>
      </w:r>
      <w:r>
        <w:rPr>
          <w:rFonts w:hint="eastAsia"/>
        </w:rPr>
        <w:t>浓度、</w:t>
      </w:r>
      <w:r>
        <w:t>排放速率执行山东省地方标准</w:t>
      </w:r>
      <w:r>
        <w:rPr>
          <w:rFonts w:hint="eastAsia"/>
        </w:rPr>
        <w:t>《挥发性有机物排放标准 第5部分：表面涂装行业》（DB37/2801.5-2018）</w:t>
      </w:r>
      <w:r>
        <w:t>表</w:t>
      </w:r>
      <w:r>
        <w:rPr>
          <w:rFonts w:hint="eastAsia"/>
        </w:rPr>
        <w:t>2</w:t>
      </w:r>
      <w:r>
        <w:t>排放限值</w:t>
      </w:r>
      <w:r>
        <w:rPr>
          <w:rFonts w:hint="eastAsia"/>
        </w:rPr>
        <w:t>；</w:t>
      </w:r>
      <w:r>
        <w:t>VOCs</w:t>
      </w:r>
      <w:r>
        <w:rPr>
          <w:rFonts w:hint="eastAsia"/>
        </w:rPr>
        <w:t>厂区内</w:t>
      </w:r>
      <w:r>
        <w:t>无组织排放</w:t>
      </w:r>
      <w:r>
        <w:rPr>
          <w:rFonts w:hint="eastAsia"/>
        </w:rPr>
        <w:t>浓度执行《挥发性有机物无组织排放控制标准》（GB37822-2019）附录A表A.</w:t>
      </w:r>
      <w:r>
        <w:t>1</w:t>
      </w:r>
      <w:r>
        <w:rPr>
          <w:rFonts w:hint="eastAsia"/>
        </w:rPr>
        <w:t>排放限值</w:t>
      </w:r>
      <w:r>
        <w:t>；VOCs</w:t>
      </w:r>
      <w:r>
        <w:rPr>
          <w:rFonts w:hint="eastAsia"/>
        </w:rPr>
        <w:t>厂界</w:t>
      </w:r>
      <w:r>
        <w:t>无组织排放</w:t>
      </w:r>
      <w:r>
        <w:rPr>
          <w:rFonts w:hint="eastAsia"/>
        </w:rPr>
        <w:t>浓度</w:t>
      </w:r>
      <w:r>
        <w:t>执行山东省地方标准</w:t>
      </w:r>
      <w:r>
        <w:rPr>
          <w:rFonts w:hint="eastAsia"/>
        </w:rPr>
        <w:t>《挥发性有机物排放标准 第5部分：表面涂装行业》（DB37/2801.5-2018）</w:t>
      </w:r>
      <w:r>
        <w:t>表</w:t>
      </w:r>
      <w:r>
        <w:rPr>
          <w:rFonts w:hint="eastAsia"/>
        </w:rPr>
        <w:t>3厂界</w:t>
      </w:r>
      <w:r>
        <w:t>监控点浓度限值（2.0mg/m</w:t>
      </w:r>
      <w:r>
        <w:rPr>
          <w:vertAlign w:val="superscript"/>
        </w:rPr>
        <w:t>3</w:t>
      </w:r>
      <w:r>
        <w:t>）。</w:t>
      </w:r>
    </w:p>
    <w:p>
      <w:pPr>
        <w:ind w:firstLine="480"/>
      </w:pPr>
      <w:r>
        <w:t>②噪声环境影响分析结论</w:t>
      </w:r>
    </w:p>
    <w:p>
      <w:pPr>
        <w:adjustRightInd w:val="0"/>
        <w:snapToGrid w:val="0"/>
        <w:ind w:firstLine="480"/>
      </w:pPr>
      <w:r>
        <w:rPr>
          <w:kern w:val="0"/>
        </w:rPr>
        <w:t>项目营运期厂界噪声执行《工业企业厂界环境噪声排放标准》（GB12348-2008）中的2类标准要求（即昼间60dB（A）、夜间不生产）。</w:t>
      </w:r>
    </w:p>
    <w:p>
      <w:pPr>
        <w:tabs>
          <w:tab w:val="left" w:pos="7440"/>
        </w:tabs>
        <w:ind w:firstLine="480"/>
        <w:rPr>
          <w:color w:val="000000"/>
        </w:rPr>
      </w:pPr>
      <w:r>
        <w:t>③</w:t>
      </w:r>
      <w:r>
        <w:rPr>
          <w:color w:val="000000"/>
        </w:rPr>
        <w:t xml:space="preserve"> 固体废物环境影响分析</w:t>
      </w:r>
    </w:p>
    <w:p>
      <w:pPr>
        <w:pStyle w:val="22"/>
        <w:snapToGrid w:val="0"/>
        <w:ind w:firstLine="480"/>
        <w:rPr>
          <w:rFonts w:ascii="Times New Roman" w:hAnsi="Times New Roman"/>
          <w:kern w:val="0"/>
          <w:szCs w:val="24"/>
        </w:rPr>
      </w:pPr>
      <w:r>
        <w:rPr>
          <w:rFonts w:ascii="Times New Roman" w:hAnsi="Times New Roman"/>
          <w:kern w:val="0"/>
          <w:szCs w:val="24"/>
        </w:rPr>
        <w:t>一般工业固体废物执行《一般工业固体废物贮存和填埋污染控制标准》（GB18599-2020）、危险废物执行</w:t>
      </w:r>
      <w:r>
        <w:rPr>
          <w:rFonts w:hint="eastAsia" w:ascii="Times New Roman" w:hAnsi="Times New Roman"/>
          <w:kern w:val="0"/>
          <w:szCs w:val="24"/>
        </w:rPr>
        <w:t>《危险废物贮存污染控制标准》（GB18597-2023）、</w:t>
      </w:r>
      <w:r>
        <w:rPr>
          <w:rFonts w:ascii="Times New Roman" w:hAnsi="Times New Roman"/>
          <w:kern w:val="0"/>
          <w:szCs w:val="24"/>
        </w:rPr>
        <w:t>《危险废物收集贮存运输技术规范》(HJ 2025-2012)要求。</w:t>
      </w:r>
    </w:p>
    <w:p>
      <w:pPr>
        <w:pStyle w:val="22"/>
        <w:snapToGrid w:val="0"/>
        <w:ind w:firstLine="482"/>
        <w:rPr>
          <w:rFonts w:ascii="Times New Roman" w:hAnsi="Times New Roman"/>
          <w:b/>
          <w:bCs/>
          <w:szCs w:val="24"/>
        </w:rPr>
      </w:pPr>
      <w:r>
        <w:rPr>
          <w:rFonts w:ascii="Times New Roman" w:hAnsi="Times New Roman"/>
          <w:b/>
          <w:bCs/>
          <w:szCs w:val="24"/>
        </w:rPr>
        <w:t>6、总量控制</w:t>
      </w:r>
    </w:p>
    <w:p>
      <w:pPr>
        <w:adjustRightInd w:val="0"/>
        <w:snapToGrid w:val="0"/>
        <w:ind w:firstLine="480"/>
        <w:rPr>
          <w:kern w:val="0"/>
        </w:rPr>
      </w:pPr>
      <w:r>
        <w:rPr>
          <w:rFonts w:hint="eastAsia"/>
          <w:kern w:val="0"/>
        </w:rPr>
        <w:t>拟建项目生活污水经化粪池处理后，由环卫部分定期清运，不外排。</w:t>
      </w:r>
    </w:p>
    <w:p>
      <w:pPr>
        <w:pStyle w:val="66"/>
        <w:ind w:firstLine="480"/>
        <w:rPr>
          <w:rFonts w:ascii="Times New Roman" w:hAnsi="Times New Roman"/>
        </w:rPr>
      </w:pPr>
      <w:r>
        <w:rPr>
          <w:rFonts w:hint="eastAsia" w:ascii="Times New Roman" w:hAnsi="Times New Roman" w:cs="Times New Roman"/>
          <w:kern w:val="0"/>
          <w:lang w:val="en-US" w:bidi="ar-SA"/>
        </w:rPr>
        <w:t>项目主要外排大气污染物颗粒物和VOCs，</w:t>
      </w:r>
      <w:r>
        <w:rPr>
          <w:rFonts w:ascii="Times New Roman" w:hAnsi="Times New Roman"/>
          <w:spacing w:val="-13"/>
        </w:rPr>
        <w:t>根据《山东省生态环境厅关于印发山东省建设项目主要大气污染物排放总量</w:t>
      </w:r>
      <w:r>
        <w:rPr>
          <w:rFonts w:ascii="Times New Roman" w:hAnsi="Times New Roman"/>
          <w:spacing w:val="-3"/>
        </w:rPr>
        <w:t>替代指标核算及管理办法的通知》</w:t>
      </w:r>
      <w:r>
        <w:rPr>
          <w:rFonts w:ascii="Times New Roman" w:hAnsi="Times New Roman"/>
        </w:rPr>
        <w:t>（</w:t>
      </w:r>
      <w:r>
        <w:rPr>
          <w:rFonts w:ascii="Times New Roman" w:hAnsi="Times New Roman"/>
          <w:spacing w:val="-6"/>
        </w:rPr>
        <w:t>鲁环发〔</w:t>
      </w:r>
      <w:r>
        <w:rPr>
          <w:rFonts w:ascii="Times New Roman" w:hAnsi="Times New Roman" w:eastAsia="Times New Roman"/>
        </w:rPr>
        <w:t>2019</w:t>
      </w:r>
      <w:r>
        <w:rPr>
          <w:rFonts w:ascii="Times New Roman" w:hAnsi="Times New Roman"/>
          <w:spacing w:val="-22"/>
        </w:rPr>
        <w:t>〕</w:t>
      </w:r>
      <w:r>
        <w:rPr>
          <w:rFonts w:ascii="Times New Roman" w:hAnsi="Times New Roman" w:eastAsia="Times New Roman"/>
        </w:rPr>
        <w:t xml:space="preserve">132 </w:t>
      </w:r>
      <w:r>
        <w:rPr>
          <w:rFonts w:ascii="Times New Roman" w:hAnsi="Times New Roman"/>
        </w:rPr>
        <w:t>号</w:t>
      </w:r>
      <w:r>
        <w:rPr>
          <w:rFonts w:ascii="Times New Roman" w:hAnsi="Times New Roman"/>
          <w:spacing w:val="-20"/>
        </w:rPr>
        <w:t>）</w:t>
      </w:r>
      <w:r>
        <w:rPr>
          <w:rFonts w:ascii="Times New Roman" w:hAnsi="Times New Roman"/>
          <w:spacing w:val="-7"/>
        </w:rPr>
        <w:t>规定，要求生态环</w:t>
      </w:r>
      <w:r>
        <w:rPr>
          <w:rFonts w:ascii="Times New Roman" w:hAnsi="Times New Roman"/>
          <w:spacing w:val="-8"/>
        </w:rPr>
        <w:t>境主管部门对建设项目二氧化硫、氮氧化物、烟粉尘和挥发性有机物四项大气污</w:t>
      </w:r>
      <w:r>
        <w:rPr>
          <w:rFonts w:ascii="Times New Roman" w:hAnsi="Times New Roman"/>
          <w:spacing w:val="-11"/>
        </w:rPr>
        <w:t>染物排放总量进行总量替代，排放</w:t>
      </w:r>
      <w:r>
        <w:rPr>
          <w:rFonts w:ascii="Times New Roman" w:hAnsi="Times New Roman"/>
        </w:rPr>
        <w:t>主要大气污染物的建设项目须取得污染物排放总量指标。</w:t>
      </w:r>
    </w:p>
    <w:p>
      <w:pPr>
        <w:pStyle w:val="76"/>
        <w:snapToGrid w:val="0"/>
      </w:pPr>
      <w:r>
        <w:rPr>
          <w:rFonts w:hint="eastAsia" w:cs="Times New Roman"/>
          <w:kern w:val="2"/>
          <w:szCs w:val="24"/>
          <w:lang w:bidi="ar-SA"/>
        </w:rPr>
        <w:t>本项目运营过程中颗粒物有组织排放总量为0.106</w:t>
      </w:r>
      <w:r>
        <w:rPr>
          <w:rFonts w:cs="Times New Roman"/>
          <w:kern w:val="2"/>
          <w:szCs w:val="24"/>
          <w:lang w:bidi="ar-SA"/>
        </w:rPr>
        <w:t>t/a</w:t>
      </w:r>
      <w:r>
        <w:rPr>
          <w:rFonts w:hint="eastAsia" w:cs="Times New Roman"/>
          <w:kern w:val="2"/>
          <w:szCs w:val="24"/>
          <w:lang w:bidi="ar-SA"/>
        </w:rPr>
        <w:t>，VOCs有组织排放总量为0.035</w:t>
      </w:r>
      <w:r>
        <w:rPr>
          <w:rFonts w:cs="Times New Roman"/>
          <w:kern w:val="2"/>
          <w:szCs w:val="24"/>
          <w:lang w:bidi="ar-SA"/>
        </w:rPr>
        <w:t>t/a</w:t>
      </w:r>
      <w:r>
        <w:rPr>
          <w:rFonts w:hint="eastAsia" w:cs="Times New Roman"/>
          <w:kern w:val="2"/>
          <w:szCs w:val="24"/>
          <w:lang w:bidi="ar-SA"/>
        </w:rPr>
        <w:t>。</w:t>
      </w:r>
      <w:r>
        <w:rPr>
          <w:rFonts w:hint="eastAsia"/>
        </w:rPr>
        <w:t>因此，需要申请有组织</w:t>
      </w:r>
      <w:r>
        <w:rPr>
          <w:rFonts w:hint="eastAsia" w:cs="Times New Roman"/>
          <w:kern w:val="2"/>
          <w:szCs w:val="24"/>
          <w:lang w:bidi="ar-SA"/>
        </w:rPr>
        <w:t>颗粒物</w:t>
      </w:r>
      <w:r>
        <w:rPr>
          <w:rFonts w:hint="eastAsia"/>
        </w:rPr>
        <w:t>总量指标为</w:t>
      </w:r>
      <w:r>
        <w:t>0.</w:t>
      </w:r>
      <w:r>
        <w:rPr>
          <w:rFonts w:hint="eastAsia"/>
        </w:rPr>
        <w:t>106</w:t>
      </w:r>
      <w:r>
        <w:t>t/a</w:t>
      </w:r>
      <w:r>
        <w:rPr>
          <w:rFonts w:hint="eastAsia"/>
        </w:rPr>
        <w:t>，有组织</w:t>
      </w:r>
      <w:r>
        <w:rPr>
          <w:rFonts w:hint="eastAsia" w:cs="Times New Roman"/>
          <w:kern w:val="2"/>
          <w:szCs w:val="24"/>
          <w:lang w:bidi="ar-SA"/>
        </w:rPr>
        <w:t>VOCs</w:t>
      </w:r>
      <w:r>
        <w:rPr>
          <w:rFonts w:hint="eastAsia"/>
        </w:rPr>
        <w:t>总量指标为</w:t>
      </w:r>
      <w:r>
        <w:t>0.</w:t>
      </w:r>
      <w:r>
        <w:rPr>
          <w:rFonts w:hint="eastAsia"/>
        </w:rPr>
        <w:t>035</w:t>
      </w:r>
      <w:r>
        <w:t>t/a</w:t>
      </w:r>
      <w:r>
        <w:rPr>
          <w:rFonts w:hint="eastAsia"/>
        </w:rPr>
        <w:t>。</w:t>
      </w:r>
      <w:r>
        <w:rPr>
          <w:rFonts w:hint="eastAsia"/>
          <w:kern w:val="0"/>
        </w:rPr>
        <w:t>同时颗粒物、VOCs还应进行2倍削减替代，替代量分别为0.212t</w:t>
      </w:r>
      <w:r>
        <w:rPr>
          <w:kern w:val="0"/>
        </w:rPr>
        <w:t>/a</w:t>
      </w:r>
      <w:r>
        <w:rPr>
          <w:rFonts w:hint="eastAsia"/>
          <w:kern w:val="0"/>
        </w:rPr>
        <w:t>、0.07t/a。</w:t>
      </w:r>
    </w:p>
    <w:bookmarkEnd w:id="603"/>
    <w:bookmarkEnd w:id="604"/>
    <w:p>
      <w:pPr>
        <w:pStyle w:val="4"/>
      </w:pPr>
      <w:bookmarkStart w:id="605" w:name="_Toc405546970"/>
      <w:bookmarkStart w:id="606" w:name="_Toc3160"/>
      <w:bookmarkStart w:id="607" w:name="_Toc12471"/>
      <w:bookmarkStart w:id="608" w:name="_Toc508787713"/>
      <w:bookmarkStart w:id="609" w:name="_Toc20079_WPSOffice_Level2"/>
      <w:bookmarkStart w:id="610" w:name="_Toc838"/>
      <w:bookmarkStart w:id="611" w:name="_Toc23652"/>
      <w:bookmarkStart w:id="612" w:name="_Toc7272"/>
      <w:bookmarkStart w:id="613" w:name="_Toc13881"/>
      <w:bookmarkStart w:id="614" w:name="_Toc27763"/>
      <w:bookmarkStart w:id="615" w:name="_Toc5950"/>
      <w:bookmarkStart w:id="616" w:name="_Toc14914"/>
      <w:bookmarkStart w:id="617" w:name="_Toc2994"/>
      <w:bookmarkStart w:id="618" w:name="_Toc31871"/>
      <w:bookmarkStart w:id="619" w:name="_Toc938"/>
      <w:bookmarkStart w:id="620" w:name="_Toc2468"/>
      <w:bookmarkStart w:id="621" w:name="_Toc8340"/>
      <w:bookmarkStart w:id="622" w:name="_Toc23605"/>
      <w:bookmarkStart w:id="623" w:name="_Toc19449"/>
      <w:bookmarkStart w:id="624" w:name="_Toc6484_WPSOffice_Level2"/>
      <w:bookmarkStart w:id="625" w:name="_Toc2975"/>
      <w:bookmarkStart w:id="626" w:name="_Toc32214_WPSOffice_Level2"/>
      <w:bookmarkStart w:id="627" w:name="_Toc9505_WPSOffice_Level2"/>
      <w:bookmarkStart w:id="628" w:name="_Toc28877"/>
      <w:bookmarkStart w:id="629" w:name="_Toc5623"/>
      <w:bookmarkStart w:id="630" w:name="_Toc8981_WPSOffice_Level2"/>
      <w:bookmarkStart w:id="631" w:name="_Toc2978"/>
      <w:bookmarkStart w:id="632" w:name="_Toc17325"/>
      <w:r>
        <w:t>5.</w:t>
      </w:r>
      <w:r>
        <w:rPr>
          <w:rFonts w:hint="eastAsia"/>
        </w:rPr>
        <w:t>2</w:t>
      </w:r>
      <w:r>
        <w:t xml:space="preserve"> </w:t>
      </w:r>
      <w:bookmarkEnd w:id="605"/>
      <w:r>
        <w:t>审批部门审批决定</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t>（摘自环评批复</w:t>
      </w:r>
      <w:bookmarkEnd w:id="623"/>
      <w:bookmarkEnd w:id="624"/>
      <w:bookmarkEnd w:id="625"/>
      <w:bookmarkEnd w:id="626"/>
      <w:bookmarkEnd w:id="627"/>
      <w:bookmarkEnd w:id="628"/>
      <w:bookmarkEnd w:id="629"/>
      <w:bookmarkEnd w:id="630"/>
      <w:r>
        <w:t>）</w:t>
      </w:r>
      <w:bookmarkEnd w:id="631"/>
      <w:bookmarkEnd w:id="632"/>
    </w:p>
    <w:p>
      <w:pPr>
        <w:ind w:firstLine="480"/>
        <w:rPr>
          <w:highlight w:val="red"/>
        </w:rPr>
      </w:pPr>
      <w:r>
        <w:t>审批决定：枣环峄审字[202</w:t>
      </w:r>
      <w:r>
        <w:rPr>
          <w:rFonts w:hint="eastAsia"/>
        </w:rPr>
        <w:t>3</w:t>
      </w:r>
      <w:r>
        <w:t>]</w:t>
      </w:r>
      <w:r>
        <w:rPr>
          <w:rFonts w:hint="eastAsia"/>
        </w:rPr>
        <w:t>04</w:t>
      </w:r>
      <w:r>
        <w:t>号，</w:t>
      </w:r>
      <w:bookmarkStart w:id="633" w:name="_Toc405546971"/>
      <w:r>
        <w:t>《枣庄市生态环境局峄城分局关于</w:t>
      </w:r>
      <w:r>
        <w:rPr>
          <w:rFonts w:hint="eastAsia"/>
        </w:rPr>
        <w:t>山东德勤智能设备有限公司智能木业机械设备制造项目</w:t>
      </w:r>
      <w:r>
        <w:t>环境影响报告表的批复》具体见附件。</w:t>
      </w:r>
    </w:p>
    <w:p>
      <w:pPr>
        <w:pStyle w:val="3"/>
      </w:pPr>
      <w:bookmarkStart w:id="634" w:name="_Toc10317"/>
      <w:bookmarkStart w:id="635" w:name="_Toc17140"/>
      <w:bookmarkStart w:id="636" w:name="_Toc1861_WPSOffice_Level1"/>
      <w:bookmarkStart w:id="637" w:name="_Toc563"/>
      <w:bookmarkStart w:id="638" w:name="_Toc29412"/>
      <w:bookmarkStart w:id="639" w:name="_Toc22465"/>
      <w:bookmarkStart w:id="640" w:name="_Toc12669_WPSOffice_Level1"/>
      <w:bookmarkStart w:id="641" w:name="_Toc499"/>
      <w:bookmarkStart w:id="642" w:name="_Toc13891"/>
      <w:bookmarkStart w:id="643" w:name="_Toc966"/>
      <w:bookmarkStart w:id="644" w:name="_Toc27563"/>
      <w:bookmarkStart w:id="645" w:name="_Toc11425"/>
      <w:bookmarkStart w:id="646" w:name="_Toc16504"/>
      <w:bookmarkStart w:id="647" w:name="_Toc23096"/>
      <w:bookmarkStart w:id="648" w:name="_Toc26190"/>
      <w:bookmarkStart w:id="649" w:name="_Toc3314"/>
      <w:bookmarkStart w:id="650" w:name="_Toc7849_WPSOffice_Level1"/>
      <w:bookmarkStart w:id="651" w:name="_Toc508787714"/>
      <w:bookmarkStart w:id="652" w:name="_Toc30287"/>
      <w:bookmarkStart w:id="653" w:name="_Toc9408"/>
      <w:bookmarkStart w:id="654" w:name="_Toc15970"/>
      <w:bookmarkStart w:id="655" w:name="_Toc6322"/>
      <w:bookmarkStart w:id="656" w:name="_Toc19923_WPSOffice_Level1"/>
      <w:bookmarkStart w:id="657" w:name="_Toc27463"/>
      <w:bookmarkStart w:id="658" w:name="_Toc10810"/>
      <w:bookmarkStart w:id="659" w:name="_Toc25972_WPSOffice_Level1"/>
      <w:bookmarkStart w:id="660" w:name="_Toc21234"/>
      <w:r>
        <w:t>第六章 验收执行标准</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4"/>
      </w:pPr>
      <w:bookmarkStart w:id="661" w:name="_Toc893_WPSOffice_Level2"/>
      <w:bookmarkStart w:id="662" w:name="_Toc28961"/>
      <w:bookmarkStart w:id="663" w:name="_Toc19658_WPSOffice_Level2"/>
      <w:bookmarkStart w:id="664" w:name="_Toc14149"/>
      <w:bookmarkStart w:id="665" w:name="_Toc32450_WPSOffice_Level2"/>
      <w:bookmarkStart w:id="666" w:name="_Toc10919_WPSOffice_Level2"/>
      <w:bookmarkStart w:id="667" w:name="_Toc5420"/>
      <w:bookmarkStart w:id="668" w:name="_Toc23956"/>
      <w:bookmarkStart w:id="669" w:name="_Toc12081"/>
      <w:bookmarkStart w:id="670" w:name="_Toc8251"/>
      <w:bookmarkStart w:id="671" w:name="_Toc5480_WPSOffice_Level2"/>
      <w:bookmarkStart w:id="672" w:name="_Toc21444_WPSOffice_Level2"/>
      <w:bookmarkStart w:id="673" w:name="_Toc14678"/>
      <w:bookmarkStart w:id="674" w:name="_Toc508787715"/>
      <w:bookmarkStart w:id="675" w:name="_Toc24164"/>
      <w:bookmarkStart w:id="676" w:name="_Toc32746_WPSOffice_Level2"/>
      <w:bookmarkStart w:id="677" w:name="_Toc4416"/>
      <w:bookmarkStart w:id="678" w:name="_Toc1273"/>
      <w:bookmarkStart w:id="679" w:name="_Toc405546972"/>
      <w:bookmarkStart w:id="680" w:name="_Toc11681"/>
      <w:bookmarkStart w:id="681" w:name="_Toc10610"/>
      <w:bookmarkStart w:id="682" w:name="_Toc12947"/>
      <w:bookmarkStart w:id="683" w:name="_Toc623"/>
      <w:bookmarkStart w:id="684" w:name="_Toc2268"/>
      <w:bookmarkStart w:id="685" w:name="_Toc23461"/>
      <w:bookmarkStart w:id="686" w:name="_Toc26592"/>
      <w:bookmarkStart w:id="687" w:name="_Toc32431"/>
      <w:bookmarkStart w:id="688" w:name="_Toc28565"/>
      <w:bookmarkStart w:id="689" w:name="_Toc22167"/>
      <w:bookmarkStart w:id="690" w:name="_Toc4860"/>
      <w:r>
        <w:t>6.1污染物排放标准</w:t>
      </w:r>
      <w:bookmarkEnd w:id="661"/>
      <w:bookmarkEnd w:id="662"/>
      <w:bookmarkEnd w:id="663"/>
      <w:bookmarkEnd w:id="664"/>
      <w:bookmarkEnd w:id="665"/>
      <w:bookmarkEnd w:id="666"/>
      <w:bookmarkEnd w:id="667"/>
      <w:bookmarkEnd w:id="668"/>
      <w:bookmarkEnd w:id="669"/>
      <w:bookmarkEnd w:id="670"/>
    </w:p>
    <w:bookmarkEnd w:id="671"/>
    <w:bookmarkEnd w:id="672"/>
    <w:p>
      <w:pPr>
        <w:pStyle w:val="5"/>
      </w:pPr>
      <w:r>
        <w:t>6.1.</w:t>
      </w:r>
      <w:r>
        <w:rPr>
          <w:rFonts w:hint="eastAsia"/>
        </w:rPr>
        <w:t>1</w:t>
      </w:r>
      <w:r>
        <w:t>废水验收执行标准</w:t>
      </w:r>
    </w:p>
    <w:p>
      <w:pPr>
        <w:ind w:firstLine="480"/>
      </w:pPr>
      <w:r>
        <w:t>环评及批复要求执行标准：</w:t>
      </w:r>
      <w:r>
        <w:rPr>
          <w:rFonts w:hint="eastAsia"/>
        </w:rPr>
        <w:t>生活污水出水水质满足</w:t>
      </w:r>
      <w:r>
        <w:t xml:space="preserve">《城市污水再生利用 绿地灌溉水质》（GB/T </w:t>
      </w:r>
      <w:r>
        <w:rPr>
          <w:rFonts w:hint="eastAsia"/>
        </w:rPr>
        <w:t>25499</w:t>
      </w:r>
      <w:r>
        <w:t>-201</w:t>
      </w:r>
      <w:r>
        <w:rPr>
          <w:rFonts w:hint="eastAsia"/>
        </w:rPr>
        <w:t>0</w:t>
      </w:r>
      <w:r>
        <w:t>）</w:t>
      </w:r>
      <w:r>
        <w:rPr>
          <w:rFonts w:hint="eastAsia"/>
        </w:rPr>
        <w:t>标准</w:t>
      </w:r>
      <w:r>
        <w:t>。</w:t>
      </w:r>
    </w:p>
    <w:p>
      <w:pPr>
        <w:ind w:firstLine="480"/>
      </w:pPr>
      <w:r>
        <w:t>具体标准限值见表6.1-</w:t>
      </w:r>
      <w:r>
        <w:rPr>
          <w:rFonts w:hint="eastAsia"/>
        </w:rPr>
        <w:t>1</w:t>
      </w:r>
      <w:r>
        <w:t>。</w:t>
      </w:r>
    </w:p>
    <w:p>
      <w:pPr>
        <w:pStyle w:val="48"/>
      </w:pPr>
      <w:r>
        <w:t>表6.1-1 污水处理站废水排放执行标准限值</w:t>
      </w:r>
    </w:p>
    <w:tbl>
      <w:tblPr>
        <w:tblStyle w:val="34"/>
        <w:tblW w:w="425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2386"/>
        <w:gridCol w:w="313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tcBorders>
              <w:tl2br w:val="nil"/>
              <w:tr2bl w:val="nil"/>
            </w:tcBorders>
            <w:tcMar>
              <w:left w:w="28" w:type="dxa"/>
              <w:right w:w="28" w:type="dxa"/>
            </w:tcMar>
            <w:vAlign w:val="center"/>
          </w:tcPr>
          <w:p>
            <w:pPr>
              <w:pStyle w:val="44"/>
            </w:pPr>
            <w:r>
              <w:t>项目</w:t>
            </w:r>
          </w:p>
        </w:tc>
        <w:tc>
          <w:tcPr>
            <w:tcW w:w="1481" w:type="pct"/>
            <w:tcBorders>
              <w:tl2br w:val="nil"/>
              <w:tr2bl w:val="nil"/>
            </w:tcBorders>
            <w:tcMar>
              <w:left w:w="28" w:type="dxa"/>
              <w:right w:w="28" w:type="dxa"/>
            </w:tcMar>
            <w:vAlign w:val="center"/>
          </w:tcPr>
          <w:p>
            <w:pPr>
              <w:pStyle w:val="44"/>
            </w:pPr>
            <w:r>
              <w:t>单位</w:t>
            </w:r>
          </w:p>
        </w:tc>
        <w:tc>
          <w:tcPr>
            <w:tcW w:w="1943" w:type="pct"/>
            <w:tcBorders>
              <w:tl2br w:val="nil"/>
              <w:tr2bl w:val="nil"/>
            </w:tcBorders>
            <w:tcMar>
              <w:left w:w="28" w:type="dxa"/>
              <w:right w:w="28" w:type="dxa"/>
            </w:tcMar>
            <w:vAlign w:val="center"/>
          </w:tcPr>
          <w:p>
            <w:pPr>
              <w:pStyle w:val="44"/>
            </w:pPr>
            <w:r>
              <w:t xml:space="preserve">《城市污水再生利用 绿地灌溉水质》（GB/T </w:t>
            </w:r>
            <w:r>
              <w:rPr>
                <w:rFonts w:hint="eastAsia"/>
              </w:rPr>
              <w:t>25499</w:t>
            </w:r>
            <w:r>
              <w:t>-201</w:t>
            </w:r>
            <w:r>
              <w:rPr>
                <w:rFonts w:hint="eastAsia"/>
              </w:rPr>
              <w:t>0</w:t>
            </w:r>
            <w:r>
              <w:t>）</w:t>
            </w:r>
            <w:r>
              <w:rPr>
                <w:rFonts w:hint="eastAsia"/>
              </w:rPr>
              <w:t>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tcBorders>
              <w:tl2br w:val="nil"/>
              <w:tr2bl w:val="nil"/>
            </w:tcBorders>
            <w:shd w:val="clear" w:color="auto" w:fill="auto"/>
            <w:tcMar>
              <w:left w:w="28" w:type="dxa"/>
              <w:right w:w="28" w:type="dxa"/>
            </w:tcMar>
            <w:vAlign w:val="center"/>
          </w:tcPr>
          <w:p>
            <w:pPr>
              <w:pStyle w:val="44"/>
            </w:pPr>
            <w:r>
              <w:t>pH</w:t>
            </w:r>
          </w:p>
        </w:tc>
        <w:tc>
          <w:tcPr>
            <w:tcW w:w="1481" w:type="pct"/>
            <w:tcBorders>
              <w:tl2br w:val="nil"/>
              <w:tr2bl w:val="nil"/>
            </w:tcBorders>
            <w:tcMar>
              <w:left w:w="28" w:type="dxa"/>
              <w:right w:w="28" w:type="dxa"/>
            </w:tcMar>
            <w:vAlign w:val="center"/>
          </w:tcPr>
          <w:p>
            <w:pPr>
              <w:pStyle w:val="44"/>
            </w:pPr>
            <w:r>
              <w:t>无量纲</w:t>
            </w:r>
          </w:p>
        </w:tc>
        <w:tc>
          <w:tcPr>
            <w:tcW w:w="1943" w:type="pct"/>
            <w:tcBorders>
              <w:tl2br w:val="nil"/>
              <w:tr2bl w:val="nil"/>
            </w:tcBorders>
            <w:tcMar>
              <w:left w:w="28" w:type="dxa"/>
              <w:right w:w="28" w:type="dxa"/>
            </w:tcMar>
            <w:vAlign w:val="center"/>
          </w:tcPr>
          <w:p>
            <w:pPr>
              <w:pStyle w:val="44"/>
            </w:pPr>
            <w:r>
              <w:t>6.</w:t>
            </w:r>
            <w:r>
              <w:rPr>
                <w:rFonts w:hint="eastAsia"/>
              </w:rPr>
              <w:t>0</w:t>
            </w:r>
            <w:r>
              <w:t>-9.</w:t>
            </w:r>
            <w:r>
              <w:rPr>
                <w:rFonts w:hint="eastAsia"/>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tcBorders>
              <w:tl2br w:val="nil"/>
              <w:tr2bl w:val="nil"/>
            </w:tcBorders>
            <w:shd w:val="clear" w:color="auto" w:fill="auto"/>
            <w:tcMar>
              <w:left w:w="28" w:type="dxa"/>
              <w:right w:w="28" w:type="dxa"/>
            </w:tcMar>
            <w:vAlign w:val="center"/>
          </w:tcPr>
          <w:p>
            <w:pPr>
              <w:pStyle w:val="44"/>
              <w:rPr>
                <w:highlight w:val="none"/>
              </w:rPr>
            </w:pPr>
            <w:r>
              <w:rPr>
                <w:highlight w:val="none"/>
              </w:rPr>
              <w:t>色度</w:t>
            </w:r>
          </w:p>
        </w:tc>
        <w:tc>
          <w:tcPr>
            <w:tcW w:w="1481" w:type="pct"/>
            <w:tcBorders>
              <w:tl2br w:val="nil"/>
              <w:tr2bl w:val="nil"/>
            </w:tcBorders>
            <w:tcMar>
              <w:left w:w="28" w:type="dxa"/>
              <w:right w:w="28" w:type="dxa"/>
            </w:tcMar>
            <w:vAlign w:val="center"/>
          </w:tcPr>
          <w:p>
            <w:pPr>
              <w:pStyle w:val="44"/>
              <w:rPr>
                <w:rFonts w:hint="eastAsia" w:eastAsia="宋体"/>
                <w:highlight w:val="none"/>
                <w:lang w:eastAsia="zh-CN"/>
              </w:rPr>
            </w:pPr>
            <w:r>
              <w:rPr>
                <w:rFonts w:hint="eastAsia"/>
                <w:highlight w:val="none"/>
                <w:lang w:val="en-US" w:eastAsia="zh-CN"/>
              </w:rPr>
              <w:t>倍</w:t>
            </w:r>
          </w:p>
        </w:tc>
        <w:tc>
          <w:tcPr>
            <w:tcW w:w="1943" w:type="pct"/>
            <w:tcBorders>
              <w:tl2br w:val="nil"/>
              <w:tr2bl w:val="nil"/>
            </w:tcBorders>
            <w:tcMar>
              <w:left w:w="28" w:type="dxa"/>
              <w:right w:w="28" w:type="dxa"/>
            </w:tcMar>
            <w:vAlign w:val="center"/>
          </w:tcPr>
          <w:p>
            <w:pPr>
              <w:pStyle w:val="44"/>
            </w:pPr>
            <w:r>
              <w:rPr>
                <w:rFonts w:hint="eastAsia"/>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5" w:type="pct"/>
            <w:tcBorders>
              <w:tl2br w:val="nil"/>
              <w:tr2bl w:val="nil"/>
            </w:tcBorders>
            <w:shd w:val="clear" w:color="auto" w:fill="auto"/>
            <w:tcMar>
              <w:left w:w="28" w:type="dxa"/>
              <w:right w:w="28" w:type="dxa"/>
            </w:tcMar>
            <w:vAlign w:val="center"/>
          </w:tcPr>
          <w:p>
            <w:pPr>
              <w:pStyle w:val="44"/>
            </w:pPr>
            <w:r>
              <w:t>五日生化需氧量</w:t>
            </w:r>
          </w:p>
        </w:tc>
        <w:tc>
          <w:tcPr>
            <w:tcW w:w="1481" w:type="pct"/>
            <w:tcBorders>
              <w:tl2br w:val="nil"/>
              <w:tr2bl w:val="nil"/>
            </w:tcBorders>
            <w:tcMar>
              <w:left w:w="28" w:type="dxa"/>
              <w:right w:w="28" w:type="dxa"/>
            </w:tcMar>
            <w:vAlign w:val="center"/>
          </w:tcPr>
          <w:p>
            <w:pPr>
              <w:pStyle w:val="44"/>
            </w:pPr>
            <w:r>
              <w:t>mg/L</w:t>
            </w:r>
          </w:p>
        </w:tc>
        <w:tc>
          <w:tcPr>
            <w:tcW w:w="1943" w:type="pct"/>
            <w:tcBorders>
              <w:tl2br w:val="nil"/>
              <w:tr2bl w:val="nil"/>
            </w:tcBorders>
            <w:tcMar>
              <w:left w:w="28" w:type="dxa"/>
              <w:right w:w="28" w:type="dxa"/>
            </w:tcMar>
            <w:vAlign w:val="center"/>
          </w:tcPr>
          <w:p>
            <w:pPr>
              <w:pStyle w:val="44"/>
            </w:pPr>
            <w:r>
              <w:rPr>
                <w:rFonts w:hint="eastAsia"/>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tcBorders>
              <w:tl2br w:val="nil"/>
              <w:tr2bl w:val="nil"/>
            </w:tcBorders>
            <w:shd w:val="clear" w:color="auto" w:fill="auto"/>
            <w:tcMar>
              <w:left w:w="28" w:type="dxa"/>
              <w:right w:w="28" w:type="dxa"/>
            </w:tcMar>
            <w:vAlign w:val="center"/>
          </w:tcPr>
          <w:p>
            <w:pPr>
              <w:pStyle w:val="44"/>
            </w:pPr>
            <w:r>
              <w:rPr>
                <w:rFonts w:hint="eastAsia"/>
              </w:rPr>
              <w:t>阴离子表面活性剂（LAS）</w:t>
            </w:r>
          </w:p>
        </w:tc>
        <w:tc>
          <w:tcPr>
            <w:tcW w:w="1481" w:type="pct"/>
            <w:tcBorders>
              <w:tl2br w:val="nil"/>
              <w:tr2bl w:val="nil"/>
            </w:tcBorders>
            <w:tcMar>
              <w:left w:w="28" w:type="dxa"/>
              <w:right w:w="28" w:type="dxa"/>
            </w:tcMar>
            <w:vAlign w:val="center"/>
          </w:tcPr>
          <w:p>
            <w:pPr>
              <w:pStyle w:val="44"/>
            </w:pPr>
            <w:r>
              <w:t>mg/L</w:t>
            </w:r>
          </w:p>
        </w:tc>
        <w:tc>
          <w:tcPr>
            <w:tcW w:w="1943" w:type="pct"/>
            <w:tcBorders>
              <w:tl2br w:val="nil"/>
              <w:tr2bl w:val="nil"/>
            </w:tcBorders>
            <w:tcMar>
              <w:left w:w="28" w:type="dxa"/>
              <w:right w:w="28" w:type="dxa"/>
            </w:tcMar>
            <w:vAlign w:val="center"/>
          </w:tcPr>
          <w:p>
            <w:pPr>
              <w:pStyle w:val="44"/>
            </w:pPr>
            <w:r>
              <w:rPr>
                <w:rFonts w:hint="eastAsia"/>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tcBorders>
              <w:tl2br w:val="nil"/>
              <w:tr2bl w:val="nil"/>
            </w:tcBorders>
            <w:shd w:val="clear" w:color="auto" w:fill="auto"/>
            <w:tcMar>
              <w:left w:w="28" w:type="dxa"/>
              <w:right w:w="28" w:type="dxa"/>
            </w:tcMar>
            <w:vAlign w:val="center"/>
          </w:tcPr>
          <w:p>
            <w:pPr>
              <w:pStyle w:val="44"/>
              <w:rPr>
                <w:highlight w:val="none"/>
              </w:rPr>
            </w:pPr>
            <w:r>
              <w:rPr>
                <w:rFonts w:hint="eastAsia"/>
                <w:highlight w:val="none"/>
              </w:rPr>
              <w:t>粪大肠菌群</w:t>
            </w:r>
          </w:p>
        </w:tc>
        <w:tc>
          <w:tcPr>
            <w:tcW w:w="1481" w:type="pct"/>
            <w:tcBorders>
              <w:tl2br w:val="nil"/>
              <w:tr2bl w:val="nil"/>
            </w:tcBorders>
            <w:tcMar>
              <w:left w:w="28" w:type="dxa"/>
              <w:right w:w="28" w:type="dxa"/>
            </w:tcMar>
            <w:vAlign w:val="center"/>
          </w:tcPr>
          <w:p>
            <w:pPr>
              <w:pStyle w:val="44"/>
              <w:rPr>
                <w:rFonts w:ascii="Times New Roman" w:hAnsi="Times New Roman" w:cs="Times New Roman"/>
                <w:highlight w:val="none"/>
              </w:rPr>
            </w:pPr>
            <w:r>
              <w:rPr>
                <w:rFonts w:hint="default" w:ascii="Times New Roman" w:hAnsi="Times New Roman" w:cs="Times New Roman"/>
                <w:highlight w:val="none"/>
                <w:lang w:val="en-US" w:eastAsia="zh-CN"/>
              </w:rPr>
              <w:t>MPN/L</w:t>
            </w:r>
          </w:p>
        </w:tc>
        <w:tc>
          <w:tcPr>
            <w:tcW w:w="1943" w:type="pct"/>
            <w:tcBorders>
              <w:tl2br w:val="nil"/>
              <w:tr2bl w:val="nil"/>
            </w:tcBorders>
            <w:tcMar>
              <w:left w:w="28" w:type="dxa"/>
              <w:right w:w="28" w:type="dxa"/>
            </w:tcMar>
            <w:vAlign w:val="center"/>
          </w:tcPr>
          <w:p>
            <w:pPr>
              <w:pStyle w:val="44"/>
              <w:rPr>
                <w:rFonts w:ascii="Times New Roman" w:hAnsi="Times New Roman" w:cs="Times New Roman"/>
              </w:rPr>
            </w:pPr>
            <w:r>
              <w:rPr>
                <w:rFonts w:hint="eastAsia" w:ascii="Times New Roman" w:hAnsi="Times New Roman" w:cs="Times New Roman"/>
              </w:rPr>
              <w:t>200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tcBorders>
              <w:tl2br w:val="nil"/>
              <w:tr2bl w:val="nil"/>
            </w:tcBorders>
            <w:shd w:val="clear" w:color="auto" w:fill="auto"/>
            <w:tcMar>
              <w:left w:w="28" w:type="dxa"/>
              <w:right w:w="28" w:type="dxa"/>
            </w:tcMar>
            <w:vAlign w:val="center"/>
          </w:tcPr>
          <w:p>
            <w:pPr>
              <w:pStyle w:val="44"/>
            </w:pPr>
            <w:r>
              <w:t>溶解性总固体</w:t>
            </w:r>
          </w:p>
        </w:tc>
        <w:tc>
          <w:tcPr>
            <w:tcW w:w="1481" w:type="pct"/>
            <w:tcBorders>
              <w:tl2br w:val="nil"/>
              <w:tr2bl w:val="nil"/>
            </w:tcBorders>
            <w:tcMar>
              <w:left w:w="28" w:type="dxa"/>
              <w:right w:w="28" w:type="dxa"/>
            </w:tcMar>
            <w:vAlign w:val="center"/>
          </w:tcPr>
          <w:p>
            <w:pPr>
              <w:pStyle w:val="44"/>
            </w:pPr>
            <w:r>
              <w:t>mg/L</w:t>
            </w:r>
          </w:p>
        </w:tc>
        <w:tc>
          <w:tcPr>
            <w:tcW w:w="1943" w:type="pct"/>
            <w:tcBorders>
              <w:tl2br w:val="nil"/>
              <w:tr2bl w:val="nil"/>
            </w:tcBorders>
            <w:tcMar>
              <w:left w:w="28" w:type="dxa"/>
              <w:right w:w="28" w:type="dxa"/>
            </w:tcMar>
            <w:vAlign w:val="center"/>
          </w:tcPr>
          <w:p>
            <w:pPr>
              <w:pStyle w:val="44"/>
            </w:pPr>
            <w:r>
              <w:rPr>
                <w:rFonts w:hint="eastAsia"/>
              </w:rPr>
              <w:t>1000</w:t>
            </w:r>
          </w:p>
        </w:tc>
      </w:tr>
    </w:tbl>
    <w:p>
      <w:pPr>
        <w:pStyle w:val="5"/>
      </w:pPr>
      <w:r>
        <w:t>6.1.2废气验收执行标准</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ind w:firstLine="482"/>
        <w:rPr>
          <w:b/>
          <w:bCs/>
        </w:rPr>
      </w:pPr>
      <w:bookmarkStart w:id="691" w:name="_Toc27799_WPSOffice_Level3"/>
      <w:r>
        <w:rPr>
          <w:b/>
          <w:bCs/>
        </w:rPr>
        <w:t>1、有组织废气</w:t>
      </w:r>
      <w:bookmarkEnd w:id="691"/>
    </w:p>
    <w:p>
      <w:pPr>
        <w:ind w:firstLine="480"/>
      </w:pPr>
      <w:r>
        <w:rPr>
          <w:rFonts w:hint="eastAsia"/>
        </w:rPr>
        <w:t>项目机加工废气、喷粉、喷漆工序产生的有组织颗粒物排放浓度执行《区域性大气污染物综合排放标准》（DB37/2376-2019）表1重点控制区标准要求。</w:t>
      </w:r>
    </w:p>
    <w:p>
      <w:pPr>
        <w:ind w:firstLine="480"/>
      </w:pPr>
      <w:r>
        <w:rPr>
          <w:rFonts w:hint="eastAsia"/>
        </w:rPr>
        <w:t>喷漆、固化、烘干工序产生的VOCs有组织排放浓度、排放速率执行山东省地方标准《挥发性有机物排放标准 第5部分：表面涂装行业》（DB37/2801.5-2018）表2排放限值</w:t>
      </w:r>
      <w:r>
        <w:t>。具体标准限值见表6.1-</w:t>
      </w:r>
      <w:r>
        <w:rPr>
          <w:rFonts w:hint="eastAsia"/>
        </w:rPr>
        <w:t>2</w:t>
      </w:r>
      <w:r>
        <w:t>。</w:t>
      </w:r>
    </w:p>
    <w:p>
      <w:pPr>
        <w:ind w:firstLine="480"/>
        <w:jc w:val="center"/>
      </w:pPr>
      <w:r>
        <w:rPr>
          <w:rStyle w:val="49"/>
        </w:rPr>
        <w:t>表6.1-</w:t>
      </w:r>
      <w:r>
        <w:rPr>
          <w:rStyle w:val="49"/>
          <w:rFonts w:hint="eastAsia"/>
        </w:rPr>
        <w:t xml:space="preserve">2 </w:t>
      </w:r>
      <w:r>
        <w:rPr>
          <w:rStyle w:val="49"/>
        </w:rPr>
        <w:t>有组织废气执行标准限值</w:t>
      </w:r>
    </w:p>
    <w:tbl>
      <w:tblPr>
        <w:tblStyle w:val="34"/>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16"/>
        <w:gridCol w:w="1584"/>
        <w:gridCol w:w="3762"/>
        <w:gridCol w:w="1336"/>
        <w:gridCol w:w="10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907" w:type="pct"/>
            <w:tcBorders>
              <w:left w:val="single" w:color="auto" w:sz="2" w:space="0"/>
            </w:tcBorders>
            <w:tcMar>
              <w:left w:w="28" w:type="dxa"/>
              <w:right w:w="28" w:type="dxa"/>
            </w:tcMar>
            <w:vAlign w:val="center"/>
          </w:tcPr>
          <w:p>
            <w:pPr>
              <w:pStyle w:val="44"/>
              <w:rPr>
                <w:szCs w:val="21"/>
              </w:rPr>
            </w:pPr>
            <w:r>
              <w:rPr>
                <w:szCs w:val="21"/>
              </w:rPr>
              <w:t>检测点位</w:t>
            </w:r>
          </w:p>
        </w:tc>
        <w:tc>
          <w:tcPr>
            <w:tcW w:w="837" w:type="pct"/>
            <w:tcBorders>
              <w:right w:val="single" w:color="auto" w:sz="4" w:space="0"/>
            </w:tcBorders>
            <w:tcMar>
              <w:left w:w="28" w:type="dxa"/>
              <w:right w:w="28" w:type="dxa"/>
            </w:tcMar>
            <w:vAlign w:val="center"/>
          </w:tcPr>
          <w:p>
            <w:pPr>
              <w:pStyle w:val="44"/>
              <w:rPr>
                <w:szCs w:val="21"/>
              </w:rPr>
            </w:pPr>
            <w:r>
              <w:rPr>
                <w:szCs w:val="21"/>
              </w:rPr>
              <w:t>检测因子</w:t>
            </w:r>
          </w:p>
        </w:tc>
        <w:tc>
          <w:tcPr>
            <w:tcW w:w="1988" w:type="pct"/>
            <w:tcBorders>
              <w:right w:val="single" w:color="auto" w:sz="4" w:space="0"/>
            </w:tcBorders>
            <w:tcMar>
              <w:left w:w="28" w:type="dxa"/>
              <w:right w:w="28" w:type="dxa"/>
            </w:tcMar>
            <w:vAlign w:val="center"/>
          </w:tcPr>
          <w:p>
            <w:pPr>
              <w:pStyle w:val="44"/>
              <w:rPr>
                <w:szCs w:val="21"/>
              </w:rPr>
            </w:pPr>
            <w:r>
              <w:rPr>
                <w:szCs w:val="21"/>
              </w:rPr>
              <w:t>执行标准</w:t>
            </w:r>
          </w:p>
        </w:tc>
        <w:tc>
          <w:tcPr>
            <w:tcW w:w="706" w:type="pct"/>
            <w:tcBorders>
              <w:left w:val="single" w:color="auto" w:sz="4" w:space="0"/>
              <w:right w:val="single" w:color="auto" w:sz="4" w:space="0"/>
            </w:tcBorders>
            <w:tcMar>
              <w:left w:w="28" w:type="dxa"/>
              <w:right w:w="28" w:type="dxa"/>
            </w:tcMar>
            <w:vAlign w:val="center"/>
          </w:tcPr>
          <w:p>
            <w:pPr>
              <w:pStyle w:val="44"/>
              <w:rPr>
                <w:szCs w:val="21"/>
              </w:rPr>
            </w:pPr>
            <w:r>
              <w:rPr>
                <w:szCs w:val="21"/>
              </w:rPr>
              <w:t>限值</w:t>
            </w:r>
          </w:p>
        </w:tc>
        <w:tc>
          <w:tcPr>
            <w:tcW w:w="560" w:type="pct"/>
            <w:tcBorders>
              <w:right w:val="single" w:color="auto" w:sz="4" w:space="0"/>
            </w:tcBorders>
            <w:tcMar>
              <w:left w:w="28" w:type="dxa"/>
              <w:right w:w="28" w:type="dxa"/>
            </w:tcMar>
            <w:vAlign w:val="center"/>
          </w:tcPr>
          <w:p>
            <w:pPr>
              <w:pStyle w:val="44"/>
              <w:rPr>
                <w:szCs w:val="21"/>
              </w:rPr>
            </w:pPr>
            <w:r>
              <w:rPr>
                <w:szCs w:val="21"/>
              </w:rPr>
              <w:t>排气筒高度（m）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8" w:hRule="atLeast"/>
        </w:trPr>
        <w:tc>
          <w:tcPr>
            <w:tcW w:w="907" w:type="pct"/>
            <w:tcBorders>
              <w:left w:val="single" w:color="auto" w:sz="2" w:space="0"/>
            </w:tcBorders>
            <w:tcMar>
              <w:left w:w="28" w:type="dxa"/>
              <w:right w:w="28" w:type="dxa"/>
            </w:tcMar>
            <w:vAlign w:val="center"/>
          </w:tcPr>
          <w:p>
            <w:pPr>
              <w:pStyle w:val="44"/>
              <w:rPr>
                <w:szCs w:val="21"/>
              </w:rPr>
            </w:pPr>
            <w:r>
              <w:rPr>
                <w:rFonts w:hint="eastAsia"/>
                <w:szCs w:val="21"/>
              </w:rPr>
              <w:t>机加工</w:t>
            </w:r>
            <w:r>
              <w:rPr>
                <w:szCs w:val="21"/>
                <w:lang w:eastAsia="en-US"/>
              </w:rPr>
              <w:t>排气筒DA001</w:t>
            </w:r>
          </w:p>
        </w:tc>
        <w:tc>
          <w:tcPr>
            <w:tcW w:w="837" w:type="pct"/>
            <w:tcBorders>
              <w:top w:val="single" w:color="auto" w:sz="4" w:space="0"/>
              <w:bottom w:val="single" w:color="auto" w:sz="4" w:space="0"/>
              <w:right w:val="single" w:color="auto" w:sz="4" w:space="0"/>
            </w:tcBorders>
            <w:tcMar>
              <w:left w:w="28" w:type="dxa"/>
              <w:right w:w="28" w:type="dxa"/>
            </w:tcMar>
            <w:vAlign w:val="center"/>
          </w:tcPr>
          <w:p>
            <w:pPr>
              <w:pStyle w:val="44"/>
              <w:rPr>
                <w:szCs w:val="21"/>
              </w:rPr>
            </w:pPr>
            <w:r>
              <w:rPr>
                <w:szCs w:val="21"/>
              </w:rPr>
              <w:t>颗粒物</w:t>
            </w:r>
          </w:p>
        </w:tc>
        <w:tc>
          <w:tcPr>
            <w:tcW w:w="1988" w:type="pct"/>
            <w:tcBorders>
              <w:right w:val="single" w:color="auto" w:sz="4" w:space="0"/>
            </w:tcBorders>
            <w:tcMar>
              <w:left w:w="28" w:type="dxa"/>
              <w:right w:w="28" w:type="dxa"/>
            </w:tcMar>
            <w:vAlign w:val="center"/>
          </w:tcPr>
          <w:p>
            <w:pPr>
              <w:pStyle w:val="44"/>
              <w:rPr>
                <w:szCs w:val="21"/>
              </w:rPr>
            </w:pPr>
            <w:r>
              <w:rPr>
                <w:szCs w:val="21"/>
              </w:rPr>
              <w:t>《区域性大气污染物综合排放标准》(DB37/2376-2019)表1“重点控制区”排放浓度限制</w:t>
            </w:r>
          </w:p>
        </w:tc>
        <w:tc>
          <w:tcPr>
            <w:tcW w:w="706" w:type="pct"/>
            <w:tcBorders>
              <w:left w:val="single" w:color="auto" w:sz="4" w:space="0"/>
              <w:right w:val="single" w:color="auto" w:sz="4" w:space="0"/>
            </w:tcBorders>
            <w:tcMar>
              <w:left w:w="28" w:type="dxa"/>
              <w:right w:w="28" w:type="dxa"/>
            </w:tcMar>
            <w:vAlign w:val="center"/>
          </w:tcPr>
          <w:p>
            <w:pPr>
              <w:pStyle w:val="44"/>
              <w:rPr>
                <w:szCs w:val="21"/>
              </w:rPr>
            </w:pPr>
            <w:r>
              <w:rPr>
                <w:szCs w:val="21"/>
              </w:rPr>
              <w:t xml:space="preserve">10 </w:t>
            </w:r>
            <w:r>
              <w:t>mg/m</w:t>
            </w:r>
            <w:r>
              <w:rPr>
                <w:vertAlign w:val="superscript"/>
              </w:rPr>
              <w:t>3</w:t>
            </w:r>
          </w:p>
        </w:tc>
        <w:tc>
          <w:tcPr>
            <w:tcW w:w="560" w:type="pct"/>
            <w:tcBorders>
              <w:right w:val="single" w:color="auto" w:sz="4" w:space="0"/>
            </w:tcBorders>
            <w:tcMar>
              <w:left w:w="28" w:type="dxa"/>
              <w:right w:w="28" w:type="dxa"/>
            </w:tcMar>
            <w:vAlign w:val="center"/>
          </w:tcPr>
          <w:p>
            <w:pPr>
              <w:pStyle w:val="44"/>
              <w:rPr>
                <w:szCs w:val="21"/>
              </w:rPr>
            </w:pPr>
            <w:r>
              <w:rPr>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907" w:type="pct"/>
            <w:tcBorders>
              <w:left w:val="single" w:color="auto" w:sz="2" w:space="0"/>
            </w:tcBorders>
            <w:tcMar>
              <w:left w:w="28" w:type="dxa"/>
              <w:right w:w="28" w:type="dxa"/>
            </w:tcMar>
            <w:vAlign w:val="center"/>
          </w:tcPr>
          <w:p>
            <w:pPr>
              <w:pStyle w:val="44"/>
              <w:rPr>
                <w:szCs w:val="21"/>
              </w:rPr>
            </w:pPr>
            <w:r>
              <w:rPr>
                <w:rFonts w:hint="eastAsia"/>
                <w:szCs w:val="21"/>
              </w:rPr>
              <w:t>喷粉</w:t>
            </w:r>
            <w:r>
              <w:rPr>
                <w:szCs w:val="21"/>
                <w:lang w:eastAsia="en-US"/>
              </w:rPr>
              <w:t>排气筒DA002</w:t>
            </w:r>
          </w:p>
        </w:tc>
        <w:tc>
          <w:tcPr>
            <w:tcW w:w="837" w:type="pct"/>
            <w:tcBorders>
              <w:right w:val="single" w:color="auto" w:sz="4" w:space="0"/>
            </w:tcBorders>
            <w:tcMar>
              <w:left w:w="28" w:type="dxa"/>
              <w:right w:w="28" w:type="dxa"/>
            </w:tcMar>
            <w:vAlign w:val="center"/>
          </w:tcPr>
          <w:p>
            <w:pPr>
              <w:pStyle w:val="44"/>
              <w:rPr>
                <w:szCs w:val="21"/>
              </w:rPr>
            </w:pPr>
            <w:r>
              <w:rPr>
                <w:szCs w:val="21"/>
              </w:rPr>
              <w:t>颗粒物</w:t>
            </w:r>
          </w:p>
        </w:tc>
        <w:tc>
          <w:tcPr>
            <w:tcW w:w="1988" w:type="pct"/>
            <w:tcBorders>
              <w:right w:val="single" w:color="auto" w:sz="4" w:space="0"/>
            </w:tcBorders>
            <w:tcMar>
              <w:left w:w="28" w:type="dxa"/>
              <w:right w:w="28" w:type="dxa"/>
            </w:tcMar>
            <w:vAlign w:val="center"/>
          </w:tcPr>
          <w:p>
            <w:pPr>
              <w:pStyle w:val="44"/>
              <w:rPr>
                <w:szCs w:val="21"/>
              </w:rPr>
            </w:pPr>
            <w:r>
              <w:rPr>
                <w:szCs w:val="21"/>
              </w:rPr>
              <w:t>《区域性大气污染物综合排放标准》(DB37/2376-2019)表1“重点控制区”排放浓度限制</w:t>
            </w:r>
          </w:p>
        </w:tc>
        <w:tc>
          <w:tcPr>
            <w:tcW w:w="706" w:type="pct"/>
            <w:tcBorders>
              <w:left w:val="single" w:color="auto" w:sz="4" w:space="0"/>
              <w:right w:val="single" w:color="auto" w:sz="4" w:space="0"/>
            </w:tcBorders>
            <w:tcMar>
              <w:left w:w="28" w:type="dxa"/>
              <w:right w:w="28" w:type="dxa"/>
            </w:tcMar>
            <w:vAlign w:val="center"/>
          </w:tcPr>
          <w:p>
            <w:pPr>
              <w:pStyle w:val="44"/>
              <w:rPr>
                <w:szCs w:val="21"/>
              </w:rPr>
            </w:pPr>
            <w:r>
              <w:rPr>
                <w:szCs w:val="21"/>
              </w:rPr>
              <w:t xml:space="preserve">10 </w:t>
            </w:r>
            <w:r>
              <w:t>mg/m</w:t>
            </w:r>
            <w:r>
              <w:rPr>
                <w:vertAlign w:val="superscript"/>
              </w:rPr>
              <w:t>3</w:t>
            </w:r>
          </w:p>
        </w:tc>
        <w:tc>
          <w:tcPr>
            <w:tcW w:w="560" w:type="pct"/>
            <w:tcBorders>
              <w:right w:val="single" w:color="auto" w:sz="4" w:space="0"/>
            </w:tcBorders>
            <w:tcMar>
              <w:left w:w="28" w:type="dxa"/>
              <w:right w:w="28" w:type="dxa"/>
            </w:tcMar>
            <w:vAlign w:val="center"/>
          </w:tcPr>
          <w:p>
            <w:pPr>
              <w:pStyle w:val="44"/>
              <w:rPr>
                <w:szCs w:val="21"/>
              </w:rPr>
            </w:pPr>
            <w:r>
              <w:rPr>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907" w:type="pct"/>
            <w:vMerge w:val="restart"/>
            <w:tcBorders>
              <w:top w:val="single" w:color="auto" w:sz="4" w:space="0"/>
              <w:left w:val="single" w:color="auto" w:sz="2" w:space="0"/>
            </w:tcBorders>
            <w:tcMar>
              <w:left w:w="28" w:type="dxa"/>
              <w:right w:w="28" w:type="dxa"/>
            </w:tcMar>
            <w:vAlign w:val="center"/>
          </w:tcPr>
          <w:p>
            <w:pPr>
              <w:pStyle w:val="44"/>
              <w:rPr>
                <w:szCs w:val="21"/>
              </w:rPr>
            </w:pPr>
            <w:r>
              <w:rPr>
                <w:rFonts w:hint="eastAsia"/>
                <w:szCs w:val="21"/>
              </w:rPr>
              <w:t>喷漆固化</w:t>
            </w:r>
            <w:r>
              <w:rPr>
                <w:szCs w:val="21"/>
                <w:lang w:eastAsia="en-US"/>
              </w:rPr>
              <w:t>排气筒DA00</w:t>
            </w:r>
            <w:r>
              <w:rPr>
                <w:szCs w:val="21"/>
              </w:rPr>
              <w:t>3</w:t>
            </w:r>
          </w:p>
        </w:tc>
        <w:tc>
          <w:tcPr>
            <w:tcW w:w="837" w:type="pct"/>
            <w:tcBorders>
              <w:top w:val="single" w:color="auto" w:sz="4" w:space="0"/>
              <w:right w:val="single" w:color="auto" w:sz="4" w:space="0"/>
            </w:tcBorders>
            <w:tcMar>
              <w:left w:w="28" w:type="dxa"/>
              <w:right w:w="28" w:type="dxa"/>
            </w:tcMar>
            <w:vAlign w:val="center"/>
          </w:tcPr>
          <w:p>
            <w:pPr>
              <w:pStyle w:val="44"/>
              <w:rPr>
                <w:szCs w:val="21"/>
              </w:rPr>
            </w:pPr>
            <w:r>
              <w:rPr>
                <w:szCs w:val="21"/>
              </w:rPr>
              <w:t>颗粒物</w:t>
            </w:r>
          </w:p>
        </w:tc>
        <w:tc>
          <w:tcPr>
            <w:tcW w:w="1988" w:type="pct"/>
            <w:tcBorders>
              <w:right w:val="single" w:color="auto" w:sz="4" w:space="0"/>
            </w:tcBorders>
            <w:tcMar>
              <w:left w:w="28" w:type="dxa"/>
              <w:right w:w="28" w:type="dxa"/>
            </w:tcMar>
            <w:vAlign w:val="center"/>
          </w:tcPr>
          <w:p>
            <w:pPr>
              <w:pStyle w:val="44"/>
              <w:rPr>
                <w:szCs w:val="21"/>
              </w:rPr>
            </w:pPr>
            <w:r>
              <w:rPr>
                <w:szCs w:val="21"/>
              </w:rPr>
              <w:t>《区域性大气污染物综合排放标准》(DB37/2376-2019)表1“重点控制区”排放浓度限制</w:t>
            </w:r>
          </w:p>
        </w:tc>
        <w:tc>
          <w:tcPr>
            <w:tcW w:w="706" w:type="pct"/>
            <w:tcBorders>
              <w:top w:val="single" w:color="auto" w:sz="4" w:space="0"/>
              <w:left w:val="single" w:color="auto" w:sz="4" w:space="0"/>
              <w:right w:val="single" w:color="auto" w:sz="4" w:space="0"/>
            </w:tcBorders>
            <w:tcMar>
              <w:left w:w="28" w:type="dxa"/>
              <w:right w:w="28" w:type="dxa"/>
            </w:tcMar>
            <w:vAlign w:val="center"/>
          </w:tcPr>
          <w:p>
            <w:pPr>
              <w:pStyle w:val="44"/>
              <w:rPr>
                <w:szCs w:val="21"/>
              </w:rPr>
            </w:pPr>
            <w:r>
              <w:rPr>
                <w:szCs w:val="21"/>
              </w:rPr>
              <w:t xml:space="preserve">10 </w:t>
            </w:r>
            <w:r>
              <w:t>mg/m</w:t>
            </w:r>
            <w:r>
              <w:rPr>
                <w:vertAlign w:val="superscript"/>
              </w:rPr>
              <w:t>3</w:t>
            </w:r>
          </w:p>
        </w:tc>
        <w:tc>
          <w:tcPr>
            <w:tcW w:w="560" w:type="pct"/>
            <w:vMerge w:val="restart"/>
            <w:tcBorders>
              <w:top w:val="single" w:color="auto" w:sz="4" w:space="0"/>
              <w:right w:val="single" w:color="auto" w:sz="4" w:space="0"/>
            </w:tcBorders>
            <w:tcMar>
              <w:left w:w="28" w:type="dxa"/>
              <w:right w:w="28" w:type="dxa"/>
            </w:tcMar>
            <w:vAlign w:val="center"/>
          </w:tcPr>
          <w:p>
            <w:pPr>
              <w:pStyle w:val="44"/>
              <w:rPr>
                <w:szCs w:val="21"/>
              </w:rPr>
            </w:pPr>
            <w:r>
              <w:rPr>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907" w:type="pct"/>
            <w:vMerge w:val="continue"/>
            <w:tcBorders>
              <w:left w:val="single" w:color="auto" w:sz="2" w:space="0"/>
            </w:tcBorders>
            <w:tcMar>
              <w:left w:w="28" w:type="dxa"/>
              <w:right w:w="28" w:type="dxa"/>
            </w:tcMar>
            <w:vAlign w:val="center"/>
          </w:tcPr>
          <w:p>
            <w:pPr>
              <w:pStyle w:val="44"/>
              <w:rPr>
                <w:szCs w:val="21"/>
              </w:rPr>
            </w:pPr>
          </w:p>
        </w:tc>
        <w:tc>
          <w:tcPr>
            <w:tcW w:w="837" w:type="pct"/>
            <w:tcBorders>
              <w:right w:val="single" w:color="auto" w:sz="4" w:space="0"/>
            </w:tcBorders>
            <w:tcMar>
              <w:left w:w="28" w:type="dxa"/>
              <w:right w:w="28" w:type="dxa"/>
            </w:tcMar>
            <w:vAlign w:val="center"/>
          </w:tcPr>
          <w:p>
            <w:pPr>
              <w:pStyle w:val="44"/>
              <w:rPr>
                <w:szCs w:val="21"/>
              </w:rPr>
            </w:pPr>
            <w:r>
              <w:rPr>
                <w:szCs w:val="21"/>
              </w:rPr>
              <w:t>VOCs(以非甲烷总烃计)</w:t>
            </w:r>
          </w:p>
        </w:tc>
        <w:tc>
          <w:tcPr>
            <w:tcW w:w="1988" w:type="pct"/>
            <w:tcBorders>
              <w:top w:val="single" w:color="auto" w:sz="4" w:space="0"/>
              <w:right w:val="single" w:color="auto" w:sz="4" w:space="0"/>
            </w:tcBorders>
            <w:tcMar>
              <w:left w:w="28" w:type="dxa"/>
              <w:right w:w="28" w:type="dxa"/>
            </w:tcMar>
            <w:vAlign w:val="center"/>
          </w:tcPr>
          <w:p>
            <w:pPr>
              <w:pStyle w:val="44"/>
              <w:rPr>
                <w:szCs w:val="21"/>
              </w:rPr>
            </w:pPr>
            <w:r>
              <w:rPr>
                <w:szCs w:val="21"/>
              </w:rPr>
              <w:t>《挥发性有机物排放标准 第5部分：表面涂装行业》（DB37/2801.5-2018）表2排放限值。</w:t>
            </w:r>
          </w:p>
        </w:tc>
        <w:tc>
          <w:tcPr>
            <w:tcW w:w="706" w:type="pct"/>
            <w:tcBorders>
              <w:left w:val="single" w:color="auto" w:sz="4" w:space="0"/>
              <w:right w:val="single" w:color="auto" w:sz="4" w:space="0"/>
            </w:tcBorders>
            <w:tcMar>
              <w:left w:w="28" w:type="dxa"/>
              <w:right w:w="28" w:type="dxa"/>
            </w:tcMar>
            <w:vAlign w:val="center"/>
          </w:tcPr>
          <w:p>
            <w:pPr>
              <w:pStyle w:val="44"/>
              <w:rPr>
                <w:vertAlign w:val="superscript"/>
              </w:rPr>
            </w:pPr>
            <w:r>
              <w:rPr>
                <w:rFonts w:hint="eastAsia"/>
                <w:szCs w:val="21"/>
              </w:rPr>
              <w:t>70</w:t>
            </w:r>
            <w:r>
              <w:rPr>
                <w:szCs w:val="21"/>
              </w:rPr>
              <w:t xml:space="preserve"> </w:t>
            </w:r>
            <w:r>
              <w:t>mg/m</w:t>
            </w:r>
            <w:r>
              <w:rPr>
                <w:vertAlign w:val="superscript"/>
              </w:rPr>
              <w:t>3</w:t>
            </w:r>
          </w:p>
          <w:p>
            <w:pPr>
              <w:pStyle w:val="44"/>
              <w:rPr>
                <w:szCs w:val="21"/>
              </w:rPr>
            </w:pPr>
            <w:r>
              <w:rPr>
                <w:szCs w:val="21"/>
              </w:rPr>
              <w:t>2.</w:t>
            </w:r>
            <w:r>
              <w:rPr>
                <w:rFonts w:hint="eastAsia"/>
                <w:szCs w:val="21"/>
              </w:rPr>
              <w:t>4</w:t>
            </w:r>
            <w:r>
              <w:rPr>
                <w:szCs w:val="21"/>
              </w:rPr>
              <w:t xml:space="preserve"> kg/h</w:t>
            </w:r>
          </w:p>
        </w:tc>
        <w:tc>
          <w:tcPr>
            <w:tcW w:w="560" w:type="pct"/>
            <w:vMerge w:val="continue"/>
            <w:tcBorders>
              <w:right w:val="single" w:color="auto" w:sz="4" w:space="0"/>
            </w:tcBorders>
            <w:tcMar>
              <w:left w:w="28" w:type="dxa"/>
              <w:right w:w="28" w:type="dxa"/>
            </w:tcMar>
            <w:vAlign w:val="center"/>
          </w:tcPr>
          <w:p>
            <w:pPr>
              <w:pStyle w:val="44"/>
              <w:rPr>
                <w:szCs w:val="21"/>
              </w:rPr>
            </w:pPr>
          </w:p>
        </w:tc>
      </w:tr>
    </w:tbl>
    <w:p>
      <w:pPr>
        <w:spacing w:line="240" w:lineRule="auto"/>
        <w:ind w:firstLine="482"/>
        <w:rPr>
          <w:b/>
          <w:bCs/>
          <w:color w:val="FF0000"/>
        </w:rPr>
      </w:pPr>
    </w:p>
    <w:p>
      <w:pPr>
        <w:ind w:firstLine="482"/>
        <w:rPr>
          <w:b/>
          <w:bCs/>
        </w:rPr>
      </w:pPr>
      <w:bookmarkStart w:id="692" w:name="_Toc12319_WPSOffice_Level3"/>
      <w:bookmarkStart w:id="693" w:name="_Toc3766"/>
      <w:bookmarkStart w:id="694" w:name="_Toc7382"/>
      <w:bookmarkStart w:id="695" w:name="_Toc19599"/>
      <w:bookmarkStart w:id="696" w:name="_Toc32219"/>
      <w:bookmarkStart w:id="697" w:name="_Toc26990"/>
      <w:bookmarkStart w:id="698" w:name="_Toc28086"/>
      <w:bookmarkStart w:id="699" w:name="_Toc29342"/>
      <w:bookmarkStart w:id="700" w:name="_Toc16154"/>
      <w:bookmarkStart w:id="701" w:name="_Toc6434"/>
      <w:bookmarkStart w:id="702" w:name="_Toc26312"/>
      <w:bookmarkStart w:id="703" w:name="_Toc19334"/>
      <w:bookmarkStart w:id="704" w:name="_Toc16168"/>
      <w:bookmarkStart w:id="705" w:name="_Toc508787716"/>
      <w:bookmarkStart w:id="706" w:name="_Toc5903"/>
      <w:r>
        <w:rPr>
          <w:b/>
          <w:bCs/>
        </w:rPr>
        <w:t>2、无组织废气</w:t>
      </w:r>
      <w:bookmarkEnd w:id="692"/>
    </w:p>
    <w:p>
      <w:pPr>
        <w:adjustRightInd w:val="0"/>
        <w:snapToGrid w:val="0"/>
        <w:ind w:firstLine="480"/>
        <w:rPr>
          <w:snapToGrid w:val="0"/>
          <w:kern w:val="0"/>
        </w:rPr>
      </w:pPr>
      <w:r>
        <w:rPr>
          <w:snapToGrid w:val="0"/>
          <w:kern w:val="0"/>
        </w:rPr>
        <w:t>无组织颗粒物排放浓度执行《大气污染物综合排放标准》（GB16297-1996）表2监控浓度限值。</w:t>
      </w:r>
    </w:p>
    <w:p>
      <w:pPr>
        <w:adjustRightInd w:val="0"/>
        <w:snapToGrid w:val="0"/>
        <w:ind w:firstLine="480"/>
      </w:pPr>
      <w:r>
        <w:rPr>
          <w:snapToGrid w:val="0"/>
          <w:kern w:val="0"/>
        </w:rPr>
        <w:t>VOCs</w:t>
      </w:r>
      <w:r>
        <w:rPr>
          <w:rFonts w:hint="eastAsia"/>
          <w:snapToGrid w:val="0"/>
          <w:kern w:val="0"/>
        </w:rPr>
        <w:t>厂区内</w:t>
      </w:r>
      <w:r>
        <w:rPr>
          <w:snapToGrid w:val="0"/>
          <w:kern w:val="0"/>
        </w:rPr>
        <w:t>无组织排放</w:t>
      </w:r>
      <w:r>
        <w:rPr>
          <w:rFonts w:hint="eastAsia"/>
          <w:snapToGrid w:val="0"/>
          <w:kern w:val="0"/>
        </w:rPr>
        <w:t>浓度执行</w:t>
      </w:r>
      <w:r>
        <w:rPr>
          <w:rFonts w:hint="eastAsia"/>
        </w:rPr>
        <w:t>《挥发性有机物无组织排放控制标准》（GB37822-2019）附录A表A.</w:t>
      </w:r>
      <w:r>
        <w:t>1</w:t>
      </w:r>
      <w:r>
        <w:rPr>
          <w:rFonts w:hint="eastAsia"/>
        </w:rPr>
        <w:t>排放限值</w:t>
      </w:r>
      <w:r>
        <w:rPr>
          <w:snapToGrid w:val="0"/>
          <w:kern w:val="0"/>
        </w:rPr>
        <w:t>；VOCs</w:t>
      </w:r>
      <w:r>
        <w:rPr>
          <w:rFonts w:hint="eastAsia"/>
          <w:snapToGrid w:val="0"/>
          <w:kern w:val="0"/>
        </w:rPr>
        <w:t>厂界</w:t>
      </w:r>
      <w:r>
        <w:rPr>
          <w:snapToGrid w:val="0"/>
          <w:kern w:val="0"/>
        </w:rPr>
        <w:t>无组织排放</w:t>
      </w:r>
      <w:r>
        <w:rPr>
          <w:rFonts w:hint="eastAsia"/>
          <w:snapToGrid w:val="0"/>
          <w:kern w:val="0"/>
        </w:rPr>
        <w:t>浓度</w:t>
      </w:r>
      <w:r>
        <w:rPr>
          <w:snapToGrid w:val="0"/>
          <w:kern w:val="0"/>
        </w:rPr>
        <w:t>执行山东省地方标准</w:t>
      </w:r>
      <w:r>
        <w:rPr>
          <w:rFonts w:hint="eastAsia"/>
          <w:snapToGrid w:val="0"/>
          <w:kern w:val="0"/>
        </w:rPr>
        <w:t>《挥发性有机物排放标准 第5部分：表面涂装行业》（DB37/2801.5-2018）</w:t>
      </w:r>
      <w:r>
        <w:rPr>
          <w:snapToGrid w:val="0"/>
          <w:kern w:val="0"/>
        </w:rPr>
        <w:t>表</w:t>
      </w:r>
      <w:r>
        <w:rPr>
          <w:rFonts w:hint="eastAsia"/>
          <w:snapToGrid w:val="0"/>
          <w:kern w:val="0"/>
        </w:rPr>
        <w:t>3厂界</w:t>
      </w:r>
      <w:r>
        <w:rPr>
          <w:snapToGrid w:val="0"/>
          <w:kern w:val="0"/>
        </w:rPr>
        <w:t>监控点浓度限值（2.0mg/m</w:t>
      </w:r>
      <w:r>
        <w:rPr>
          <w:snapToGrid w:val="0"/>
          <w:kern w:val="0"/>
          <w:vertAlign w:val="superscript"/>
        </w:rPr>
        <w:t>3</w:t>
      </w:r>
      <w:r>
        <w:rPr>
          <w:snapToGrid w:val="0"/>
          <w:kern w:val="0"/>
        </w:rPr>
        <w:t>）</w:t>
      </w:r>
      <w:r>
        <w:t>。具体标准限值见表6.1-</w:t>
      </w:r>
      <w:r>
        <w:rPr>
          <w:rFonts w:hint="eastAsia"/>
        </w:rPr>
        <w:t>3</w:t>
      </w:r>
      <w:r>
        <w:t>。</w:t>
      </w:r>
    </w:p>
    <w:p>
      <w:pPr>
        <w:pStyle w:val="48"/>
      </w:pPr>
      <w:bookmarkStart w:id="707" w:name="_Toc13243_WPSOffice_Level3"/>
      <w:bookmarkStart w:id="708" w:name="_Toc17926_WPSOffice_Level3"/>
      <w:r>
        <w:t>表6.1-</w:t>
      </w:r>
      <w:r>
        <w:rPr>
          <w:rFonts w:hint="eastAsia"/>
        </w:rPr>
        <w:t>3</w:t>
      </w:r>
      <w:r>
        <w:t xml:space="preserve"> 无组织废气执行标准限值</w:t>
      </w:r>
      <w:bookmarkEnd w:id="707"/>
      <w:bookmarkEnd w:id="708"/>
    </w:p>
    <w:tbl>
      <w:tblPr>
        <w:tblStyle w:val="3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6857"/>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11" w:type="pct"/>
            <w:vAlign w:val="center"/>
          </w:tcPr>
          <w:p>
            <w:pPr>
              <w:pStyle w:val="44"/>
              <w:rPr>
                <w:szCs w:val="21"/>
              </w:rPr>
            </w:pPr>
            <w:r>
              <w:rPr>
                <w:szCs w:val="21"/>
              </w:rPr>
              <w:t>监测项目</w:t>
            </w:r>
          </w:p>
        </w:tc>
        <w:tc>
          <w:tcPr>
            <w:tcW w:w="3568" w:type="pct"/>
            <w:vAlign w:val="center"/>
          </w:tcPr>
          <w:p>
            <w:pPr>
              <w:pStyle w:val="44"/>
              <w:rPr>
                <w:szCs w:val="21"/>
              </w:rPr>
            </w:pPr>
            <w:r>
              <w:rPr>
                <w:szCs w:val="21"/>
              </w:rPr>
              <w:t>执行标准</w:t>
            </w:r>
          </w:p>
        </w:tc>
        <w:tc>
          <w:tcPr>
            <w:tcW w:w="620" w:type="pct"/>
            <w:vAlign w:val="center"/>
          </w:tcPr>
          <w:p>
            <w:pPr>
              <w:pStyle w:val="44"/>
              <w:rPr>
                <w:szCs w:val="21"/>
              </w:rPr>
            </w:pPr>
            <w:r>
              <w:rPr>
                <w:szCs w:val="21"/>
              </w:rPr>
              <w:t>标准限值</w:t>
            </w:r>
            <w:r>
              <w:rPr>
                <w:rFonts w:hint="eastAsia"/>
                <w:szCs w:val="21"/>
              </w:rPr>
              <w:t>（mg/m</w:t>
            </w:r>
            <w:r>
              <w:rPr>
                <w:rFonts w:hint="eastAsia"/>
                <w:szCs w:val="21"/>
                <w:vertAlign w:val="superscript"/>
              </w:rPr>
              <w:t>3</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1" w:type="pct"/>
            <w:vAlign w:val="center"/>
          </w:tcPr>
          <w:p>
            <w:pPr>
              <w:adjustRightInd w:val="0"/>
              <w:spacing w:line="240" w:lineRule="auto"/>
              <w:ind w:firstLine="0" w:firstLineChars="0"/>
              <w:jc w:val="center"/>
              <w:rPr>
                <w:bCs/>
                <w:sz w:val="21"/>
                <w:szCs w:val="21"/>
              </w:rPr>
            </w:pPr>
            <w:r>
              <w:rPr>
                <w:bCs/>
                <w:sz w:val="21"/>
                <w:szCs w:val="21"/>
              </w:rPr>
              <w:t>颗粒物</w:t>
            </w:r>
          </w:p>
        </w:tc>
        <w:tc>
          <w:tcPr>
            <w:tcW w:w="3568" w:type="pct"/>
            <w:vAlign w:val="center"/>
          </w:tcPr>
          <w:p>
            <w:pPr>
              <w:pStyle w:val="44"/>
              <w:rPr>
                <w:szCs w:val="21"/>
              </w:rPr>
            </w:pPr>
            <w:r>
              <w:rPr>
                <w:szCs w:val="21"/>
              </w:rPr>
              <w:t>《大气污染物综合排放标准》（GB16297-1996）表2监控浓度限值</w:t>
            </w:r>
          </w:p>
        </w:tc>
        <w:tc>
          <w:tcPr>
            <w:tcW w:w="620" w:type="pct"/>
            <w:vAlign w:val="center"/>
          </w:tcPr>
          <w:p>
            <w:pPr>
              <w:pStyle w:val="44"/>
              <w:adjustRightInd w:val="0"/>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1" w:type="pct"/>
            <w:vAlign w:val="center"/>
          </w:tcPr>
          <w:p>
            <w:pPr>
              <w:adjustRightInd w:val="0"/>
              <w:spacing w:line="240" w:lineRule="auto"/>
              <w:ind w:firstLine="0" w:firstLineChars="0"/>
              <w:jc w:val="center"/>
              <w:rPr>
                <w:bCs/>
                <w:sz w:val="21"/>
                <w:szCs w:val="21"/>
              </w:rPr>
            </w:pPr>
            <w:r>
              <w:rPr>
                <w:bCs/>
                <w:sz w:val="21"/>
                <w:szCs w:val="21"/>
              </w:rPr>
              <w:t>VOCs</w:t>
            </w:r>
          </w:p>
          <w:p>
            <w:pPr>
              <w:adjustRightInd w:val="0"/>
              <w:spacing w:line="240" w:lineRule="auto"/>
              <w:ind w:firstLine="0" w:firstLineChars="0"/>
              <w:jc w:val="center"/>
              <w:rPr>
                <w:bCs/>
                <w:sz w:val="21"/>
                <w:szCs w:val="21"/>
              </w:rPr>
            </w:pPr>
            <w:r>
              <w:rPr>
                <w:bCs/>
                <w:sz w:val="21"/>
                <w:szCs w:val="21"/>
              </w:rPr>
              <w:t>（厂区内）</w:t>
            </w:r>
          </w:p>
        </w:tc>
        <w:tc>
          <w:tcPr>
            <w:tcW w:w="3568" w:type="pct"/>
            <w:vAlign w:val="center"/>
          </w:tcPr>
          <w:p>
            <w:pPr>
              <w:pStyle w:val="44"/>
              <w:rPr>
                <w:szCs w:val="21"/>
              </w:rPr>
            </w:pPr>
            <w:r>
              <w:rPr>
                <w:szCs w:val="21"/>
              </w:rPr>
              <w:t>《挥发性有机物无组织排放控制标准》（GB37822-2019）附录A表A.1排放限值</w:t>
            </w:r>
          </w:p>
        </w:tc>
        <w:tc>
          <w:tcPr>
            <w:tcW w:w="620" w:type="pct"/>
            <w:vAlign w:val="center"/>
          </w:tcPr>
          <w:p>
            <w:pPr>
              <w:pStyle w:val="44"/>
              <w:adjustRightInd w:val="0"/>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1" w:type="pct"/>
            <w:vAlign w:val="center"/>
          </w:tcPr>
          <w:p>
            <w:pPr>
              <w:adjustRightInd w:val="0"/>
              <w:spacing w:line="240" w:lineRule="auto"/>
              <w:ind w:firstLine="0" w:firstLineChars="0"/>
              <w:jc w:val="center"/>
              <w:rPr>
                <w:bCs/>
                <w:sz w:val="21"/>
                <w:szCs w:val="21"/>
              </w:rPr>
            </w:pPr>
            <w:r>
              <w:rPr>
                <w:bCs/>
                <w:sz w:val="21"/>
                <w:szCs w:val="21"/>
              </w:rPr>
              <w:t>VOCs</w:t>
            </w:r>
          </w:p>
          <w:p>
            <w:pPr>
              <w:adjustRightInd w:val="0"/>
              <w:spacing w:line="240" w:lineRule="auto"/>
              <w:ind w:firstLine="0" w:firstLineChars="0"/>
              <w:jc w:val="center"/>
              <w:rPr>
                <w:bCs/>
                <w:sz w:val="21"/>
                <w:szCs w:val="21"/>
              </w:rPr>
            </w:pPr>
            <w:r>
              <w:rPr>
                <w:bCs/>
                <w:sz w:val="21"/>
                <w:szCs w:val="21"/>
              </w:rPr>
              <w:t>（厂界）</w:t>
            </w:r>
          </w:p>
        </w:tc>
        <w:tc>
          <w:tcPr>
            <w:tcW w:w="3568" w:type="pct"/>
            <w:vAlign w:val="center"/>
          </w:tcPr>
          <w:p>
            <w:pPr>
              <w:pStyle w:val="44"/>
              <w:rPr>
                <w:szCs w:val="21"/>
              </w:rPr>
            </w:pPr>
            <w:r>
              <w:rPr>
                <w:szCs w:val="21"/>
              </w:rPr>
              <w:t>《</w:t>
            </w:r>
            <w:r>
              <w:rPr>
                <w:rFonts w:hint="eastAsia"/>
                <w:szCs w:val="21"/>
              </w:rPr>
              <w:t>挥发性有机物排放标准 第5部分：表面涂装行业</w:t>
            </w:r>
            <w:r>
              <w:rPr>
                <w:szCs w:val="21"/>
              </w:rPr>
              <w:t>》（DB37/2801.</w:t>
            </w:r>
            <w:r>
              <w:rPr>
                <w:rFonts w:hint="eastAsia"/>
                <w:szCs w:val="21"/>
              </w:rPr>
              <w:t>5</w:t>
            </w:r>
            <w:r>
              <w:rPr>
                <w:szCs w:val="21"/>
              </w:rPr>
              <w:t>-20</w:t>
            </w:r>
            <w:r>
              <w:rPr>
                <w:rFonts w:hint="eastAsia"/>
                <w:szCs w:val="21"/>
              </w:rPr>
              <w:t>18</w:t>
            </w:r>
            <w:r>
              <w:rPr>
                <w:szCs w:val="21"/>
              </w:rPr>
              <w:t>）表</w:t>
            </w:r>
            <w:r>
              <w:rPr>
                <w:rFonts w:hint="eastAsia"/>
                <w:szCs w:val="21"/>
              </w:rPr>
              <w:t>3</w:t>
            </w:r>
            <w:r>
              <w:rPr>
                <w:szCs w:val="21"/>
              </w:rPr>
              <w:t xml:space="preserve">  </w:t>
            </w:r>
            <w:r>
              <w:rPr>
                <w:rFonts w:hint="eastAsia"/>
                <w:szCs w:val="21"/>
              </w:rPr>
              <w:t>厂界</w:t>
            </w:r>
            <w:r>
              <w:rPr>
                <w:szCs w:val="21"/>
              </w:rPr>
              <w:t>监控点浓度限值</w:t>
            </w:r>
          </w:p>
        </w:tc>
        <w:tc>
          <w:tcPr>
            <w:tcW w:w="620" w:type="pct"/>
            <w:vAlign w:val="center"/>
          </w:tcPr>
          <w:p>
            <w:pPr>
              <w:pStyle w:val="44"/>
              <w:adjustRightInd w:val="0"/>
              <w:rPr>
                <w:szCs w:val="21"/>
              </w:rPr>
            </w:pPr>
            <w:r>
              <w:rPr>
                <w:szCs w:val="21"/>
              </w:rPr>
              <w:t>2</w:t>
            </w:r>
          </w:p>
        </w:tc>
      </w:t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tbl>
    <w:p>
      <w:pPr>
        <w:pStyle w:val="5"/>
        <w:rPr>
          <w:highlight w:val="none"/>
        </w:rPr>
      </w:pPr>
      <w:bookmarkStart w:id="709" w:name="_Toc5096"/>
      <w:bookmarkStart w:id="710" w:name="_Toc32442"/>
      <w:bookmarkStart w:id="711" w:name="_Toc7474"/>
      <w:bookmarkStart w:id="712" w:name="_Toc508787717"/>
      <w:bookmarkStart w:id="713" w:name="_Toc9525"/>
      <w:bookmarkStart w:id="714" w:name="_Toc23487"/>
      <w:bookmarkStart w:id="715" w:name="_Toc22226"/>
      <w:bookmarkStart w:id="716" w:name="_Toc1459"/>
      <w:bookmarkStart w:id="717" w:name="_Toc23507"/>
      <w:bookmarkStart w:id="718" w:name="_Toc20411"/>
      <w:bookmarkStart w:id="719" w:name="_Toc18967"/>
      <w:bookmarkStart w:id="720" w:name="_Toc21095"/>
      <w:bookmarkStart w:id="721" w:name="_Toc13293_WPSOffice_Level2"/>
      <w:bookmarkStart w:id="722" w:name="_Toc16165"/>
      <w:bookmarkStart w:id="723" w:name="_Toc17165"/>
      <w:bookmarkStart w:id="724" w:name="_Toc31765"/>
      <w:bookmarkStart w:id="725" w:name="_Toc28958"/>
      <w:r>
        <w:t>6.1.</w:t>
      </w:r>
      <w:r>
        <w:rPr>
          <w:rFonts w:hint="eastAsia"/>
        </w:rPr>
        <w:t>2</w:t>
      </w:r>
      <w:r>
        <w:t>噪</w:t>
      </w:r>
      <w:r>
        <w:rPr>
          <w:highlight w:val="none"/>
        </w:rPr>
        <w:t>声验收执行标准</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ind w:firstLine="480"/>
        <w:rPr>
          <w:highlight w:val="none"/>
        </w:rPr>
      </w:pPr>
      <w:r>
        <w:rPr>
          <w:highlight w:val="none"/>
        </w:rPr>
        <w:t>厂界噪声执行《工业企业厂界环境噪声排放标准》（GB12348-2008）</w:t>
      </w:r>
      <w:r>
        <w:rPr>
          <w:rFonts w:hint="eastAsia"/>
          <w:highlight w:val="none"/>
        </w:rPr>
        <w:t>2</w:t>
      </w:r>
      <w:r>
        <w:rPr>
          <w:highlight w:val="none"/>
        </w:rPr>
        <w:t>类区标准要求，见表6.1-</w:t>
      </w:r>
      <w:r>
        <w:rPr>
          <w:rFonts w:hint="eastAsia"/>
          <w:highlight w:val="none"/>
        </w:rPr>
        <w:t>4</w:t>
      </w:r>
      <w:r>
        <w:rPr>
          <w:highlight w:val="none"/>
        </w:rPr>
        <w:t>。</w:t>
      </w:r>
    </w:p>
    <w:p>
      <w:pPr>
        <w:pStyle w:val="48"/>
        <w:rPr>
          <w:highlight w:val="none"/>
        </w:rPr>
      </w:pPr>
      <w:bookmarkStart w:id="726" w:name="_Toc2421_WPSOffice_Level3"/>
      <w:bookmarkStart w:id="727" w:name="_Toc23570"/>
      <w:bookmarkStart w:id="728" w:name="_Toc2805_WPSOffice_Level3"/>
      <w:bookmarkStart w:id="729" w:name="_Toc31836"/>
      <w:bookmarkStart w:id="730" w:name="_Toc20162"/>
      <w:bookmarkStart w:id="731" w:name="_Toc13329"/>
      <w:bookmarkStart w:id="732" w:name="_Toc22055"/>
      <w:bookmarkStart w:id="733" w:name="_Toc21339"/>
      <w:r>
        <w:rPr>
          <w:highlight w:val="none"/>
        </w:rPr>
        <w:t>表6.1-</w:t>
      </w:r>
      <w:r>
        <w:rPr>
          <w:rFonts w:hint="eastAsia"/>
          <w:highlight w:val="none"/>
        </w:rPr>
        <w:t>4</w:t>
      </w:r>
      <w:r>
        <w:rPr>
          <w:highlight w:val="none"/>
        </w:rPr>
        <w:t xml:space="preserve"> 厂界噪声标准限值 单位：Leq[dB（A）]</w:t>
      </w:r>
      <w:bookmarkEnd w:id="726"/>
      <w:bookmarkEnd w:id="727"/>
      <w:bookmarkEnd w:id="728"/>
      <w:bookmarkEnd w:id="729"/>
      <w:bookmarkEnd w:id="730"/>
      <w:bookmarkEnd w:id="731"/>
      <w:bookmarkEnd w:id="732"/>
      <w:bookmarkEnd w:id="733"/>
    </w:p>
    <w:tbl>
      <w:tblPr>
        <w:tblStyle w:val="34"/>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2080"/>
        <w:gridCol w:w="2019"/>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877" w:type="dxa"/>
            <w:vAlign w:val="center"/>
          </w:tcPr>
          <w:p>
            <w:pPr>
              <w:pStyle w:val="44"/>
              <w:rPr>
                <w:highlight w:val="none"/>
              </w:rPr>
            </w:pPr>
            <w:r>
              <w:rPr>
                <w:highlight w:val="none"/>
              </w:rPr>
              <w:t>厂界噪声</w:t>
            </w:r>
          </w:p>
        </w:tc>
        <w:tc>
          <w:tcPr>
            <w:tcW w:w="2080" w:type="dxa"/>
            <w:vAlign w:val="center"/>
          </w:tcPr>
          <w:p>
            <w:pPr>
              <w:pStyle w:val="44"/>
              <w:rPr>
                <w:highlight w:val="none"/>
              </w:rPr>
            </w:pPr>
            <w:r>
              <w:rPr>
                <w:highlight w:val="none"/>
              </w:rPr>
              <w:t>类别</w:t>
            </w:r>
          </w:p>
        </w:tc>
        <w:tc>
          <w:tcPr>
            <w:tcW w:w="2019" w:type="dxa"/>
            <w:vAlign w:val="center"/>
          </w:tcPr>
          <w:p>
            <w:pPr>
              <w:pStyle w:val="44"/>
              <w:rPr>
                <w:highlight w:val="none"/>
              </w:rPr>
            </w:pPr>
            <w:r>
              <w:rPr>
                <w:highlight w:val="none"/>
              </w:rPr>
              <w:t>昼间</w:t>
            </w:r>
          </w:p>
        </w:tc>
        <w:tc>
          <w:tcPr>
            <w:tcW w:w="2142" w:type="dxa"/>
            <w:vAlign w:val="center"/>
          </w:tcPr>
          <w:p>
            <w:pPr>
              <w:pStyle w:val="44"/>
              <w:rPr>
                <w:rFonts w:hint="eastAsia" w:eastAsia="宋体"/>
                <w:highlight w:val="none"/>
                <w:lang w:val="en-US" w:eastAsia="zh-CN"/>
              </w:rPr>
            </w:pPr>
            <w:r>
              <w:rPr>
                <w:rFonts w:hint="eastAsia"/>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877" w:type="dxa"/>
            <w:vAlign w:val="center"/>
          </w:tcPr>
          <w:p>
            <w:pPr>
              <w:pStyle w:val="44"/>
              <w:rPr>
                <w:highlight w:val="none"/>
              </w:rPr>
            </w:pPr>
            <w:r>
              <w:rPr>
                <w:highlight w:val="none"/>
              </w:rPr>
              <w:t>东、南、西、北四厂界</w:t>
            </w:r>
          </w:p>
        </w:tc>
        <w:tc>
          <w:tcPr>
            <w:tcW w:w="2080" w:type="dxa"/>
            <w:vAlign w:val="center"/>
          </w:tcPr>
          <w:p>
            <w:pPr>
              <w:pStyle w:val="44"/>
              <w:rPr>
                <w:highlight w:val="none"/>
              </w:rPr>
            </w:pPr>
            <w:r>
              <w:rPr>
                <w:rFonts w:hint="eastAsia"/>
                <w:highlight w:val="none"/>
              </w:rPr>
              <w:t>2</w:t>
            </w:r>
          </w:p>
        </w:tc>
        <w:tc>
          <w:tcPr>
            <w:tcW w:w="2019" w:type="dxa"/>
            <w:vAlign w:val="center"/>
          </w:tcPr>
          <w:p>
            <w:pPr>
              <w:pStyle w:val="44"/>
              <w:rPr>
                <w:highlight w:val="none"/>
              </w:rPr>
            </w:pPr>
            <w:r>
              <w:rPr>
                <w:highlight w:val="none"/>
              </w:rPr>
              <w:t>6</w:t>
            </w:r>
            <w:r>
              <w:rPr>
                <w:rFonts w:hint="eastAsia"/>
                <w:highlight w:val="none"/>
              </w:rPr>
              <w:t>0</w:t>
            </w:r>
          </w:p>
        </w:tc>
        <w:tc>
          <w:tcPr>
            <w:tcW w:w="2142" w:type="dxa"/>
            <w:vAlign w:val="center"/>
          </w:tcPr>
          <w:p>
            <w:pPr>
              <w:pStyle w:val="44"/>
              <w:rPr>
                <w:rFonts w:hint="default" w:eastAsia="宋体"/>
                <w:highlight w:val="none"/>
                <w:lang w:val="en-US" w:eastAsia="zh-CN"/>
              </w:rPr>
            </w:pPr>
            <w:r>
              <w:rPr>
                <w:rFonts w:hint="eastAsia"/>
                <w:highlight w:val="none"/>
                <w:lang w:val="en-US" w:eastAsia="zh-CN"/>
              </w:rPr>
              <w:t>夜间不生产，检测昼间噪声</w:t>
            </w:r>
          </w:p>
        </w:tc>
      </w:tr>
    </w:tbl>
    <w:p>
      <w:pPr>
        <w:pStyle w:val="5"/>
      </w:pPr>
      <w:bookmarkStart w:id="734" w:name="_Toc26217"/>
      <w:bookmarkStart w:id="735" w:name="_Toc27926"/>
      <w:bookmarkStart w:id="736" w:name="_Toc423907950"/>
      <w:bookmarkStart w:id="737" w:name="_Toc467094385"/>
      <w:bookmarkStart w:id="738" w:name="_Toc30304"/>
      <w:bookmarkStart w:id="739" w:name="_Toc31881"/>
      <w:bookmarkStart w:id="740" w:name="_Toc29797"/>
      <w:bookmarkStart w:id="741" w:name="_Toc24755"/>
      <w:bookmarkStart w:id="742" w:name="_Toc508787718"/>
      <w:bookmarkStart w:id="743" w:name="_Toc23530"/>
      <w:bookmarkStart w:id="744" w:name="_Toc25255"/>
      <w:bookmarkStart w:id="745" w:name="_Toc18970"/>
      <w:bookmarkStart w:id="746" w:name="_Toc22870"/>
      <w:bookmarkStart w:id="747" w:name="_Toc2338"/>
      <w:bookmarkStart w:id="748" w:name="_Toc19219"/>
      <w:bookmarkStart w:id="749" w:name="_Toc2819"/>
      <w:bookmarkStart w:id="750" w:name="_Toc21749_WPSOffice_Level2"/>
      <w:bookmarkStart w:id="751" w:name="_Toc13199"/>
      <w:bookmarkStart w:id="752" w:name="_Toc13367"/>
      <w:bookmarkStart w:id="753" w:name="_Toc405546976"/>
      <w:r>
        <w:t>6.1.</w:t>
      </w:r>
      <w:r>
        <w:rPr>
          <w:rFonts w:hint="eastAsia"/>
        </w:rPr>
        <w:t>3</w:t>
      </w:r>
      <w:r>
        <w:t>固体废物</w:t>
      </w:r>
      <w:bookmarkEnd w:id="734"/>
      <w:bookmarkEnd w:id="735"/>
      <w:bookmarkEnd w:id="736"/>
      <w:bookmarkEnd w:id="737"/>
      <w:bookmarkEnd w:id="738"/>
      <w:bookmarkEnd w:id="739"/>
      <w:bookmarkEnd w:id="740"/>
      <w:bookmarkEnd w:id="741"/>
      <w:bookmarkEnd w:id="742"/>
      <w:bookmarkEnd w:id="743"/>
      <w:r>
        <w:t>验收执行标准</w:t>
      </w:r>
      <w:bookmarkEnd w:id="744"/>
      <w:bookmarkEnd w:id="745"/>
      <w:bookmarkEnd w:id="746"/>
      <w:bookmarkEnd w:id="747"/>
      <w:bookmarkEnd w:id="748"/>
      <w:bookmarkEnd w:id="749"/>
      <w:bookmarkEnd w:id="750"/>
      <w:bookmarkEnd w:id="751"/>
      <w:bookmarkEnd w:id="752"/>
    </w:p>
    <w:p>
      <w:pPr>
        <w:ind w:firstLine="480"/>
      </w:pPr>
      <w:bookmarkStart w:id="754" w:name="_Toc3609"/>
      <w:bookmarkStart w:id="755" w:name="_Toc12476"/>
      <w:bookmarkStart w:id="756" w:name="_Toc6891"/>
      <w:bookmarkStart w:id="757" w:name="_Toc29431"/>
      <w:bookmarkStart w:id="758" w:name="_Toc27947_WPSOffice_Level2"/>
      <w:bookmarkStart w:id="759" w:name="_Toc27764_WPSOffice_Level2"/>
      <w:bookmarkStart w:id="760" w:name="_Toc4167_WPSOffice_Level2"/>
      <w:bookmarkStart w:id="761" w:name="_Toc21967_WPSOffice_Level2"/>
      <w:bookmarkStart w:id="762" w:name="_Toc7378"/>
      <w:bookmarkStart w:id="763" w:name="_Toc23887"/>
      <w:bookmarkStart w:id="764" w:name="_Toc20256"/>
      <w:bookmarkStart w:id="765" w:name="_Toc7177"/>
      <w:bookmarkStart w:id="766" w:name="_Toc27892"/>
      <w:bookmarkStart w:id="767" w:name="_Toc20705"/>
      <w:bookmarkStart w:id="768" w:name="_Toc31479"/>
      <w:bookmarkStart w:id="769" w:name="_Toc18391_WPSOffice_Level2"/>
      <w:bookmarkStart w:id="770" w:name="_Toc14205"/>
      <w:bookmarkStart w:id="771" w:name="_Toc13842"/>
      <w:bookmarkStart w:id="772" w:name="_Toc3775"/>
      <w:bookmarkStart w:id="773" w:name="_Toc12483"/>
      <w:bookmarkStart w:id="774" w:name="_Toc9072"/>
      <w:bookmarkStart w:id="775" w:name="_Toc21178"/>
      <w:bookmarkStart w:id="776" w:name="_Toc13084"/>
      <w:bookmarkStart w:id="777" w:name="_Toc18361"/>
      <w:bookmarkStart w:id="778" w:name="_Toc1801"/>
      <w:bookmarkStart w:id="779" w:name="_Toc508787719"/>
      <w:r>
        <w:t>一般工业固体废物执行《一般工业固体废物贮存和填埋污染控制标准》（GB18599-2020）、《危险废物贮存污染控制标准》（GB18597-20</w:t>
      </w:r>
      <w:r>
        <w:rPr>
          <w:rFonts w:hint="eastAsia"/>
        </w:rPr>
        <w:t>23</w:t>
      </w:r>
      <w:r>
        <w:t>）</w:t>
      </w:r>
      <w:r>
        <w:rPr>
          <w:rFonts w:hint="eastAsia"/>
        </w:rPr>
        <w:t>、</w:t>
      </w:r>
      <w:r>
        <w:t>《危险废物收集贮存运输技术规范》(HJ 2025-2012)要求。</w:t>
      </w:r>
    </w:p>
    <w:p>
      <w:pPr>
        <w:pStyle w:val="4"/>
        <w:rPr>
          <w:highlight w:val="none"/>
        </w:rPr>
      </w:pPr>
      <w:bookmarkStart w:id="780" w:name="_Toc11265"/>
      <w:r>
        <w:rPr>
          <w:highlight w:val="none"/>
        </w:rPr>
        <w:t>6.2环境</w:t>
      </w:r>
      <w:r>
        <w:rPr>
          <w:rFonts w:hint="eastAsia"/>
          <w:highlight w:val="none"/>
        </w:rPr>
        <w:t>空气</w:t>
      </w:r>
      <w:r>
        <w:rPr>
          <w:highlight w:val="none"/>
        </w:rPr>
        <w:t>质量标准</w:t>
      </w:r>
      <w:bookmarkEnd w:id="754"/>
      <w:bookmarkEnd w:id="755"/>
      <w:bookmarkEnd w:id="756"/>
      <w:bookmarkEnd w:id="757"/>
      <w:bookmarkEnd w:id="758"/>
      <w:bookmarkEnd w:id="759"/>
      <w:bookmarkEnd w:id="760"/>
      <w:bookmarkEnd w:id="761"/>
      <w:bookmarkEnd w:id="762"/>
      <w:bookmarkEnd w:id="780"/>
    </w:p>
    <w:p>
      <w:pPr>
        <w:widowControl/>
        <w:ind w:firstLine="480"/>
        <w:jc w:val="left"/>
        <w:rPr>
          <w:highlight w:val="none"/>
        </w:rPr>
      </w:pPr>
      <w:r>
        <w:rPr>
          <w:highlight w:val="none"/>
        </w:rPr>
        <w:t>项目所在区域环境空气质量功能区为二类，TSP执行《环境空气质量标准》(GB3095-2012)及修改单二级标准；</w:t>
      </w:r>
      <w:r>
        <w:rPr>
          <w:bCs/>
          <w:highlight w:val="none"/>
        </w:rPr>
        <w:t>VOC</w:t>
      </w:r>
      <w:r>
        <w:rPr>
          <w:bCs/>
          <w:highlight w:val="none"/>
          <w:vertAlign w:val="subscript"/>
        </w:rPr>
        <w:t>S</w:t>
      </w:r>
      <w:r>
        <w:rPr>
          <w:highlight w:val="none"/>
        </w:rPr>
        <w:t>(以非甲烷总烃计)</w:t>
      </w:r>
      <w:r>
        <w:rPr>
          <w:color w:val="000000"/>
          <w:kern w:val="0"/>
          <w:highlight w:val="none"/>
          <w:lang w:bidi="ar"/>
        </w:rPr>
        <w:t>执行</w:t>
      </w:r>
      <w:r>
        <w:rPr>
          <w:highlight w:val="none"/>
        </w:rPr>
        <w:t>《大气污染物综合排放标准》（GB 16297-1996）</w:t>
      </w:r>
      <w:r>
        <w:rPr>
          <w:rFonts w:hint="eastAsia"/>
          <w:highlight w:val="none"/>
        </w:rPr>
        <w:t>标准</w:t>
      </w:r>
      <w:r>
        <w:rPr>
          <w:color w:val="000000"/>
          <w:kern w:val="0"/>
          <w:highlight w:val="none"/>
          <w:lang w:bidi="ar"/>
        </w:rPr>
        <w:t>，</w:t>
      </w:r>
      <w:r>
        <w:rPr>
          <w:highlight w:val="none"/>
        </w:rPr>
        <w:t>具体限值见表6.2-1。</w:t>
      </w:r>
    </w:p>
    <w:p>
      <w:pPr>
        <w:pStyle w:val="48"/>
        <w:rPr>
          <w:highlight w:val="none"/>
        </w:rPr>
      </w:pPr>
      <w:bookmarkStart w:id="781" w:name="_Toc31165_WPSOffice_Level3"/>
      <w:bookmarkStart w:id="782" w:name="_Toc24588_WPSOffice_Level3"/>
      <w:bookmarkStart w:id="783" w:name="_Toc18027_WPSOffice_Level3"/>
      <w:bookmarkStart w:id="784" w:name="_Toc1624_WPSOffice_Level3"/>
      <w:r>
        <w:rPr>
          <w:highlight w:val="none"/>
        </w:rPr>
        <w:t>表6.2-1 环境空气执行标准限值</w:t>
      </w:r>
      <w:bookmarkEnd w:id="781"/>
      <w:bookmarkEnd w:id="782"/>
      <w:bookmarkEnd w:id="783"/>
      <w:bookmarkEnd w:id="784"/>
    </w:p>
    <w:tbl>
      <w:tblPr>
        <w:tblStyle w:val="34"/>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2531"/>
        <w:gridCol w:w="4818"/>
        <w:gridCol w:w="211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38" w:type="pct"/>
            <w:tcBorders>
              <w:tl2br w:val="nil"/>
              <w:tr2bl w:val="nil"/>
            </w:tcBorders>
            <w:tcMar>
              <w:left w:w="28" w:type="dxa"/>
              <w:right w:w="28" w:type="dxa"/>
            </w:tcMar>
            <w:vAlign w:val="center"/>
          </w:tcPr>
          <w:p>
            <w:pPr>
              <w:pStyle w:val="44"/>
              <w:rPr>
                <w:szCs w:val="21"/>
                <w:highlight w:val="none"/>
              </w:rPr>
            </w:pPr>
            <w:r>
              <w:rPr>
                <w:szCs w:val="21"/>
                <w:highlight w:val="none"/>
              </w:rPr>
              <w:t>监测项目</w:t>
            </w:r>
          </w:p>
        </w:tc>
        <w:tc>
          <w:tcPr>
            <w:tcW w:w="2546" w:type="pct"/>
            <w:tcBorders>
              <w:tl2br w:val="nil"/>
              <w:tr2bl w:val="nil"/>
            </w:tcBorders>
            <w:tcMar>
              <w:left w:w="28" w:type="dxa"/>
              <w:right w:w="28" w:type="dxa"/>
            </w:tcMar>
            <w:vAlign w:val="center"/>
          </w:tcPr>
          <w:p>
            <w:pPr>
              <w:pStyle w:val="44"/>
              <w:rPr>
                <w:szCs w:val="21"/>
                <w:highlight w:val="none"/>
              </w:rPr>
            </w:pPr>
            <w:r>
              <w:rPr>
                <w:szCs w:val="21"/>
                <w:highlight w:val="none"/>
              </w:rPr>
              <w:t>执行标准</w:t>
            </w:r>
          </w:p>
        </w:tc>
        <w:tc>
          <w:tcPr>
            <w:tcW w:w="1115" w:type="pct"/>
            <w:tcBorders>
              <w:tl2br w:val="nil"/>
              <w:tr2bl w:val="nil"/>
            </w:tcBorders>
            <w:tcMar>
              <w:left w:w="28" w:type="dxa"/>
              <w:right w:w="28" w:type="dxa"/>
            </w:tcMar>
            <w:vAlign w:val="center"/>
          </w:tcPr>
          <w:p>
            <w:pPr>
              <w:pStyle w:val="44"/>
              <w:rPr>
                <w:szCs w:val="21"/>
                <w:highlight w:val="none"/>
              </w:rPr>
            </w:pPr>
            <w:r>
              <w:rPr>
                <w:szCs w:val="21"/>
                <w:highlight w:val="none"/>
              </w:rPr>
              <w:t>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38" w:type="pct"/>
            <w:tcBorders>
              <w:tl2br w:val="nil"/>
              <w:tr2bl w:val="nil"/>
            </w:tcBorders>
            <w:tcMar>
              <w:left w:w="28" w:type="dxa"/>
              <w:right w:w="28" w:type="dxa"/>
            </w:tcMar>
          </w:tcPr>
          <w:p>
            <w:pPr>
              <w:spacing w:line="240" w:lineRule="auto"/>
              <w:ind w:firstLine="0" w:firstLineChars="0"/>
              <w:jc w:val="center"/>
              <w:rPr>
                <w:bCs/>
                <w:sz w:val="21"/>
                <w:szCs w:val="21"/>
                <w:highlight w:val="none"/>
              </w:rPr>
            </w:pPr>
            <w:r>
              <w:rPr>
                <w:bCs/>
                <w:sz w:val="21"/>
                <w:szCs w:val="21"/>
                <w:highlight w:val="none"/>
              </w:rPr>
              <w:t>TSP</w:t>
            </w:r>
          </w:p>
        </w:tc>
        <w:tc>
          <w:tcPr>
            <w:tcW w:w="2546" w:type="pct"/>
            <w:tcBorders>
              <w:tl2br w:val="nil"/>
              <w:tr2bl w:val="nil"/>
            </w:tcBorders>
            <w:tcMar>
              <w:left w:w="28" w:type="dxa"/>
              <w:right w:w="28" w:type="dxa"/>
            </w:tcMar>
            <w:vAlign w:val="center"/>
          </w:tcPr>
          <w:p>
            <w:pPr>
              <w:pStyle w:val="44"/>
              <w:rPr>
                <w:szCs w:val="21"/>
                <w:highlight w:val="none"/>
              </w:rPr>
            </w:pPr>
            <w:r>
              <w:rPr>
                <w:szCs w:val="21"/>
                <w:highlight w:val="none"/>
              </w:rPr>
              <w:t>《环境空气质量标准》</w:t>
            </w:r>
            <w:r>
              <w:rPr>
                <w:highlight w:val="none"/>
              </w:rPr>
              <w:t>(GB3095-2012)及修改单</w:t>
            </w:r>
          </w:p>
        </w:tc>
        <w:tc>
          <w:tcPr>
            <w:tcW w:w="1115" w:type="pct"/>
            <w:tcBorders>
              <w:tl2br w:val="nil"/>
              <w:tr2bl w:val="nil"/>
            </w:tcBorders>
            <w:tcMar>
              <w:left w:w="28" w:type="dxa"/>
              <w:right w:w="28" w:type="dxa"/>
            </w:tcMar>
            <w:vAlign w:val="center"/>
          </w:tcPr>
          <w:p>
            <w:pPr>
              <w:pStyle w:val="44"/>
              <w:rPr>
                <w:szCs w:val="21"/>
                <w:highlight w:val="none"/>
              </w:rPr>
            </w:pPr>
            <w:r>
              <w:rPr>
                <w:szCs w:val="21"/>
                <w:highlight w:val="none"/>
              </w:rPr>
              <w:t>300 ug/m</w:t>
            </w:r>
            <w:r>
              <w:rPr>
                <w:szCs w:val="21"/>
                <w:highlight w:val="none"/>
                <w:vertAlign w:val="superscript"/>
              </w:rPr>
              <w:t>3</w:t>
            </w:r>
            <w:r>
              <w:rPr>
                <w:szCs w:val="21"/>
                <w:highlight w:val="none"/>
              </w:rPr>
              <w:t>（日均值）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38" w:type="pct"/>
            <w:tcBorders>
              <w:tl2br w:val="nil"/>
              <w:tr2bl w:val="nil"/>
            </w:tcBorders>
            <w:tcMar>
              <w:left w:w="28" w:type="dxa"/>
              <w:right w:w="28" w:type="dxa"/>
            </w:tcMar>
            <w:vAlign w:val="center"/>
          </w:tcPr>
          <w:p>
            <w:pPr>
              <w:pStyle w:val="44"/>
              <w:rPr>
                <w:szCs w:val="21"/>
                <w:highlight w:val="none"/>
              </w:rPr>
            </w:pPr>
            <w:r>
              <w:rPr>
                <w:szCs w:val="21"/>
                <w:highlight w:val="none"/>
              </w:rPr>
              <w:t>VOC</w:t>
            </w:r>
            <w:r>
              <w:rPr>
                <w:szCs w:val="21"/>
                <w:highlight w:val="none"/>
                <w:vertAlign w:val="subscript"/>
              </w:rPr>
              <w:t>S</w:t>
            </w:r>
            <w:r>
              <w:rPr>
                <w:szCs w:val="21"/>
                <w:highlight w:val="none"/>
              </w:rPr>
              <w:t>(以非甲烷总烃计)</w:t>
            </w:r>
          </w:p>
        </w:tc>
        <w:tc>
          <w:tcPr>
            <w:tcW w:w="2546" w:type="pct"/>
            <w:tcBorders>
              <w:tl2br w:val="nil"/>
              <w:tr2bl w:val="nil"/>
            </w:tcBorders>
            <w:tcMar>
              <w:left w:w="28" w:type="dxa"/>
              <w:right w:w="28" w:type="dxa"/>
            </w:tcMar>
            <w:vAlign w:val="center"/>
          </w:tcPr>
          <w:p>
            <w:pPr>
              <w:pStyle w:val="44"/>
              <w:rPr>
                <w:szCs w:val="21"/>
                <w:highlight w:val="none"/>
              </w:rPr>
            </w:pPr>
            <w:r>
              <w:rPr>
                <w:highlight w:val="none"/>
              </w:rPr>
              <w:t>《大气污染物综合排放标准》（GB 16297-1996）</w:t>
            </w:r>
          </w:p>
        </w:tc>
        <w:tc>
          <w:tcPr>
            <w:tcW w:w="1115" w:type="pct"/>
            <w:tcBorders>
              <w:tl2br w:val="nil"/>
              <w:tr2bl w:val="nil"/>
            </w:tcBorders>
            <w:tcMar>
              <w:left w:w="28" w:type="dxa"/>
              <w:right w:w="28" w:type="dxa"/>
            </w:tcMar>
            <w:vAlign w:val="center"/>
          </w:tcPr>
          <w:p>
            <w:pPr>
              <w:pStyle w:val="44"/>
              <w:rPr>
                <w:szCs w:val="21"/>
                <w:highlight w:val="none"/>
              </w:rPr>
            </w:pPr>
            <w:r>
              <w:rPr>
                <w:kern w:val="0"/>
                <w:sz w:val="20"/>
                <w:highlight w:val="none"/>
                <w:lang w:bidi="ar"/>
              </w:rPr>
              <w:t>2000</w:t>
            </w:r>
            <w:r>
              <w:rPr>
                <w:szCs w:val="21"/>
                <w:highlight w:val="none"/>
              </w:rPr>
              <w:t xml:space="preserve"> ug/m</w:t>
            </w:r>
            <w:r>
              <w:rPr>
                <w:szCs w:val="21"/>
                <w:highlight w:val="none"/>
                <w:vertAlign w:val="superscript"/>
              </w:rPr>
              <w:t>3</w:t>
            </w:r>
            <w:r>
              <w:rPr>
                <w:szCs w:val="21"/>
                <w:highlight w:val="none"/>
              </w:rPr>
              <w:t>（小时值）</w:t>
            </w:r>
          </w:p>
        </w:tc>
      </w:tr>
      <w:bookmarkEnd w:id="753"/>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tbl>
    <w:p>
      <w:pPr>
        <w:pStyle w:val="44"/>
        <w:rPr>
          <w:color w:val="FF0000"/>
        </w:rPr>
      </w:pPr>
      <w:bookmarkStart w:id="785" w:name="_Toc14259"/>
      <w:bookmarkStart w:id="786" w:name="_Toc17208_WPSOffice_Level2"/>
      <w:bookmarkStart w:id="787" w:name="_Toc16261"/>
      <w:bookmarkStart w:id="788" w:name="_Toc6410_WPSOffice_Level2"/>
      <w:bookmarkStart w:id="789" w:name="_Toc18890_WPSOffice_Level2"/>
      <w:bookmarkStart w:id="790" w:name="_Toc5916"/>
      <w:bookmarkStart w:id="791" w:name="_Toc22802"/>
      <w:bookmarkStart w:id="792" w:name="_Toc20731_WPSOffice_Level2"/>
    </w:p>
    <w:p>
      <w:pPr>
        <w:pStyle w:val="4"/>
      </w:pPr>
      <w:bookmarkStart w:id="793" w:name="_Toc32746"/>
      <w:bookmarkStart w:id="794" w:name="_Toc16160"/>
      <w:r>
        <w:t>6.3污染物总量控制标准</w:t>
      </w:r>
      <w:bookmarkEnd w:id="785"/>
      <w:bookmarkEnd w:id="786"/>
      <w:bookmarkEnd w:id="787"/>
      <w:bookmarkEnd w:id="788"/>
      <w:bookmarkEnd w:id="789"/>
      <w:bookmarkEnd w:id="790"/>
      <w:bookmarkEnd w:id="791"/>
      <w:bookmarkEnd w:id="792"/>
      <w:bookmarkEnd w:id="793"/>
      <w:bookmarkEnd w:id="794"/>
    </w:p>
    <w:p>
      <w:pPr>
        <w:ind w:firstLine="480"/>
        <w:rPr>
          <w:szCs w:val="21"/>
        </w:rPr>
      </w:pPr>
      <w:r>
        <w:t>本项目</w:t>
      </w:r>
      <w:r>
        <w:rPr>
          <w:szCs w:val="21"/>
        </w:rPr>
        <w:t>污染物总量控制排放总量见表6.3-1。</w:t>
      </w:r>
    </w:p>
    <w:p>
      <w:pPr>
        <w:ind w:right="-97" w:firstLine="480"/>
        <w:jc w:val="center"/>
        <w:rPr>
          <w:rFonts w:eastAsia="黑体"/>
        </w:rPr>
      </w:pPr>
      <w:r>
        <w:rPr>
          <w:rFonts w:eastAsia="黑体"/>
        </w:rPr>
        <w:t>表6.3-1 污染物总量控制指标     单位t/a</w:t>
      </w:r>
    </w:p>
    <w:tbl>
      <w:tblPr>
        <w:tblStyle w:val="34"/>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3228"/>
        <w:gridCol w:w="322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tcBorders>
              <w:tl2br w:val="nil"/>
              <w:tr2bl w:val="nil"/>
            </w:tcBorders>
            <w:tcMar>
              <w:left w:w="28" w:type="dxa"/>
              <w:right w:w="28" w:type="dxa"/>
            </w:tcMar>
            <w:vAlign w:val="center"/>
          </w:tcPr>
          <w:p>
            <w:pPr>
              <w:pStyle w:val="44"/>
              <w:rPr>
                <w:szCs w:val="21"/>
              </w:rPr>
            </w:pPr>
            <w:r>
              <w:rPr>
                <w:szCs w:val="21"/>
              </w:rPr>
              <w:t>名称</w:t>
            </w:r>
          </w:p>
        </w:tc>
        <w:tc>
          <w:tcPr>
            <w:tcW w:w="1706" w:type="pct"/>
            <w:tcBorders>
              <w:tl2br w:val="nil"/>
              <w:tr2bl w:val="nil"/>
            </w:tcBorders>
            <w:tcMar>
              <w:left w:w="28" w:type="dxa"/>
              <w:right w:w="28" w:type="dxa"/>
            </w:tcMar>
            <w:vAlign w:val="center"/>
          </w:tcPr>
          <w:p>
            <w:pPr>
              <w:pStyle w:val="44"/>
              <w:rPr>
                <w:szCs w:val="21"/>
              </w:rPr>
            </w:pPr>
            <w:r>
              <w:rPr>
                <w:szCs w:val="21"/>
              </w:rPr>
              <w:t>单位</w:t>
            </w:r>
          </w:p>
        </w:tc>
        <w:tc>
          <w:tcPr>
            <w:tcW w:w="1706" w:type="pct"/>
            <w:tcBorders>
              <w:tl2br w:val="nil"/>
              <w:tr2bl w:val="nil"/>
            </w:tcBorders>
            <w:tcMar>
              <w:left w:w="28" w:type="dxa"/>
              <w:right w:w="28" w:type="dxa"/>
            </w:tcMar>
            <w:vAlign w:val="center"/>
          </w:tcPr>
          <w:p>
            <w:pPr>
              <w:pStyle w:val="44"/>
              <w:rPr>
                <w:szCs w:val="21"/>
              </w:rPr>
            </w:pPr>
            <w:r>
              <w:rPr>
                <w:szCs w:val="21"/>
              </w:rPr>
              <w:t>总量指标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tcBorders>
              <w:tl2br w:val="nil"/>
              <w:tr2bl w:val="nil"/>
            </w:tcBorders>
            <w:tcMar>
              <w:left w:w="28" w:type="dxa"/>
              <w:right w:w="28" w:type="dxa"/>
            </w:tcMar>
            <w:vAlign w:val="center"/>
          </w:tcPr>
          <w:p>
            <w:pPr>
              <w:pStyle w:val="44"/>
              <w:rPr>
                <w:szCs w:val="21"/>
              </w:rPr>
            </w:pPr>
            <w:r>
              <w:rPr>
                <w:szCs w:val="21"/>
              </w:rPr>
              <w:t>颗粒物</w:t>
            </w:r>
          </w:p>
        </w:tc>
        <w:tc>
          <w:tcPr>
            <w:tcW w:w="1706" w:type="pct"/>
            <w:tcBorders>
              <w:tl2br w:val="nil"/>
              <w:tr2bl w:val="nil"/>
            </w:tcBorders>
            <w:tcMar>
              <w:left w:w="28" w:type="dxa"/>
              <w:right w:w="28" w:type="dxa"/>
            </w:tcMar>
            <w:vAlign w:val="center"/>
          </w:tcPr>
          <w:p>
            <w:pPr>
              <w:pStyle w:val="44"/>
              <w:rPr>
                <w:szCs w:val="21"/>
              </w:rPr>
            </w:pPr>
            <w:r>
              <w:rPr>
                <w:szCs w:val="21"/>
              </w:rPr>
              <w:t>t/a</w:t>
            </w:r>
          </w:p>
        </w:tc>
        <w:tc>
          <w:tcPr>
            <w:tcW w:w="1706" w:type="pct"/>
            <w:tcBorders>
              <w:tl2br w:val="nil"/>
              <w:tr2bl w:val="nil"/>
            </w:tcBorders>
            <w:tcMar>
              <w:left w:w="28" w:type="dxa"/>
              <w:right w:w="28" w:type="dxa"/>
            </w:tcMar>
            <w:vAlign w:val="center"/>
          </w:tcPr>
          <w:p>
            <w:pPr>
              <w:pStyle w:val="44"/>
              <w:rPr>
                <w:szCs w:val="21"/>
              </w:rPr>
            </w:pPr>
            <w:r>
              <w:rPr>
                <w:szCs w:val="21"/>
              </w:rPr>
              <w:t>0.</w:t>
            </w:r>
            <w:r>
              <w:rPr>
                <w:rFonts w:hint="eastAsia"/>
                <w:szCs w:val="21"/>
              </w:rPr>
              <w:t>106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tcBorders>
              <w:tl2br w:val="nil"/>
              <w:tr2bl w:val="nil"/>
            </w:tcBorders>
            <w:tcMar>
              <w:left w:w="28" w:type="dxa"/>
              <w:right w:w="28" w:type="dxa"/>
            </w:tcMar>
            <w:vAlign w:val="center"/>
          </w:tcPr>
          <w:p>
            <w:pPr>
              <w:pStyle w:val="44"/>
              <w:rPr>
                <w:szCs w:val="21"/>
              </w:rPr>
            </w:pPr>
            <w:r>
              <w:rPr>
                <w:szCs w:val="21"/>
              </w:rPr>
              <w:t>VOCs</w:t>
            </w:r>
          </w:p>
        </w:tc>
        <w:tc>
          <w:tcPr>
            <w:tcW w:w="1706" w:type="pct"/>
            <w:tcBorders>
              <w:tl2br w:val="nil"/>
              <w:tr2bl w:val="nil"/>
            </w:tcBorders>
            <w:tcMar>
              <w:left w:w="28" w:type="dxa"/>
              <w:right w:w="28" w:type="dxa"/>
            </w:tcMar>
            <w:vAlign w:val="center"/>
          </w:tcPr>
          <w:p>
            <w:pPr>
              <w:pStyle w:val="44"/>
              <w:rPr>
                <w:szCs w:val="21"/>
              </w:rPr>
            </w:pPr>
            <w:r>
              <w:rPr>
                <w:szCs w:val="21"/>
              </w:rPr>
              <w:t>t/a</w:t>
            </w:r>
          </w:p>
        </w:tc>
        <w:tc>
          <w:tcPr>
            <w:tcW w:w="1706" w:type="pct"/>
            <w:tcBorders>
              <w:tl2br w:val="nil"/>
              <w:tr2bl w:val="nil"/>
            </w:tcBorders>
            <w:tcMar>
              <w:left w:w="28" w:type="dxa"/>
              <w:right w:w="28" w:type="dxa"/>
            </w:tcMar>
            <w:vAlign w:val="center"/>
          </w:tcPr>
          <w:p>
            <w:pPr>
              <w:pStyle w:val="44"/>
              <w:rPr>
                <w:szCs w:val="21"/>
              </w:rPr>
            </w:pPr>
            <w:r>
              <w:rPr>
                <w:szCs w:val="21"/>
              </w:rPr>
              <w:t>0.</w:t>
            </w:r>
            <w:r>
              <w:rPr>
                <w:rFonts w:hint="eastAsia"/>
                <w:szCs w:val="21"/>
              </w:rPr>
              <w:t>035</w:t>
            </w:r>
          </w:p>
        </w:tc>
      </w:tr>
    </w:tbl>
    <w:p>
      <w:pPr>
        <w:pStyle w:val="3"/>
      </w:pPr>
      <w:bookmarkStart w:id="795" w:name="_Toc405546978"/>
      <w:bookmarkStart w:id="796" w:name="_Toc19321_WPSOffice_Level1"/>
      <w:bookmarkStart w:id="797" w:name="_Toc506_WPSOffice_Level1"/>
      <w:bookmarkStart w:id="798" w:name="_Toc16260"/>
      <w:bookmarkStart w:id="799" w:name="_Toc28058"/>
      <w:bookmarkStart w:id="800" w:name="_Toc19411_WPSOffice_Level1"/>
      <w:bookmarkStart w:id="801" w:name="_Toc13486"/>
      <w:bookmarkStart w:id="802" w:name="_Toc5357"/>
      <w:bookmarkStart w:id="803" w:name="_Toc11000"/>
      <w:bookmarkStart w:id="804" w:name="_Toc15983"/>
      <w:bookmarkStart w:id="805" w:name="_Toc25567"/>
      <w:bookmarkStart w:id="806" w:name="_Toc30895"/>
      <w:bookmarkStart w:id="807" w:name="_Toc8659"/>
      <w:bookmarkStart w:id="808" w:name="_Toc21973"/>
      <w:bookmarkStart w:id="809" w:name="_Toc3986"/>
      <w:bookmarkStart w:id="810" w:name="_Toc22451"/>
      <w:bookmarkStart w:id="811" w:name="_Toc30839"/>
      <w:bookmarkStart w:id="812" w:name="_Toc10307_WPSOffice_Level1"/>
      <w:bookmarkStart w:id="813" w:name="_Toc14195"/>
      <w:bookmarkStart w:id="814" w:name="_Toc5327"/>
      <w:bookmarkStart w:id="815" w:name="_Toc28846"/>
      <w:bookmarkStart w:id="816" w:name="_Toc3316"/>
      <w:bookmarkStart w:id="817" w:name="_Toc508787721"/>
      <w:bookmarkStart w:id="818" w:name="_Toc8748"/>
      <w:bookmarkStart w:id="819" w:name="_Toc2180"/>
      <w:bookmarkStart w:id="820" w:name="_Toc11792_WPSOffice_Level1"/>
      <w:bookmarkStart w:id="821" w:name="_Toc86"/>
      <w:bookmarkStart w:id="822" w:name="_Toc21744"/>
      <w:r>
        <w:t>第七章</w:t>
      </w:r>
      <w:bookmarkEnd w:id="795"/>
      <w:r>
        <w:t xml:space="preserve"> 验收监测内容</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Start w:id="823" w:name="_Toc300061321"/>
      <w:bookmarkStart w:id="824" w:name="_Toc405546980"/>
      <w:bookmarkStart w:id="825" w:name="_Toc298875278"/>
    </w:p>
    <w:bookmarkEnd w:id="823"/>
    <w:bookmarkEnd w:id="824"/>
    <w:bookmarkEnd w:id="825"/>
    <w:p>
      <w:pPr>
        <w:pStyle w:val="4"/>
      </w:pPr>
      <w:bookmarkStart w:id="826" w:name="_Toc8406"/>
      <w:bookmarkStart w:id="827" w:name="_Toc28650"/>
      <w:bookmarkStart w:id="828" w:name="_Toc17537"/>
      <w:bookmarkStart w:id="829" w:name="_Toc8955"/>
      <w:bookmarkStart w:id="830" w:name="_Toc11033"/>
      <w:bookmarkStart w:id="831" w:name="_Toc29744"/>
      <w:bookmarkStart w:id="832" w:name="_Toc19341"/>
      <w:bookmarkStart w:id="833" w:name="_Toc21568"/>
      <w:bookmarkStart w:id="834" w:name="_Toc7773"/>
      <w:bookmarkStart w:id="835" w:name="_Toc1859"/>
      <w:bookmarkStart w:id="836" w:name="_Toc2436"/>
      <w:bookmarkStart w:id="837" w:name="_Toc12744"/>
      <w:bookmarkStart w:id="838" w:name="_Toc16649"/>
      <w:bookmarkStart w:id="839" w:name="_Toc11378_WPSOffice_Level2"/>
      <w:bookmarkStart w:id="840" w:name="_Toc19178_WPSOffice_Level2"/>
      <w:bookmarkStart w:id="841" w:name="_Toc10111"/>
      <w:bookmarkStart w:id="842" w:name="_Toc25391"/>
      <w:bookmarkStart w:id="843" w:name="_Toc22947_WPSOffice_Level2"/>
      <w:bookmarkStart w:id="844" w:name="_Toc5267"/>
      <w:bookmarkStart w:id="845" w:name="_Toc23951_WPSOffice_Level2"/>
      <w:bookmarkStart w:id="846" w:name="_Toc9521"/>
      <w:bookmarkStart w:id="847" w:name="_Toc30858_WPSOffice_Level2"/>
      <w:bookmarkStart w:id="848" w:name="_Toc5887"/>
      <w:bookmarkStart w:id="849" w:name="_Toc29345"/>
      <w:bookmarkStart w:id="850" w:name="_Toc24485"/>
      <w:bookmarkStart w:id="851" w:name="_Toc26199"/>
      <w:bookmarkStart w:id="852" w:name="_Toc508787722"/>
      <w:r>
        <w:t>7.1环境保护设施调试效果</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pStyle w:val="5"/>
      </w:pPr>
      <w:bookmarkStart w:id="853" w:name="_Toc15108_WPSOffice_Level3"/>
      <w:r>
        <w:t>7.1.</w:t>
      </w:r>
      <w:r>
        <w:rPr>
          <w:rFonts w:hint="eastAsia"/>
        </w:rPr>
        <w:t>1废水</w:t>
      </w:r>
    </w:p>
    <w:p>
      <w:pPr>
        <w:ind w:firstLine="480"/>
      </w:pPr>
      <w:bookmarkStart w:id="854" w:name="_Toc8066"/>
      <w:bookmarkStart w:id="855" w:name="_Toc24382"/>
      <w:bookmarkStart w:id="856" w:name="_Toc30687"/>
      <w:bookmarkStart w:id="857" w:name="_Toc6371"/>
      <w:bookmarkStart w:id="858" w:name="_Toc8868"/>
      <w:bookmarkStart w:id="859" w:name="_Toc11558"/>
      <w:r>
        <w:t>废水监测点位、因子及频次见表7.1-1</w:t>
      </w:r>
      <w:bookmarkEnd w:id="854"/>
      <w:bookmarkEnd w:id="855"/>
      <w:bookmarkEnd w:id="856"/>
      <w:bookmarkEnd w:id="857"/>
      <w:bookmarkEnd w:id="858"/>
      <w:bookmarkEnd w:id="859"/>
      <w:r>
        <w:t>。</w:t>
      </w:r>
    </w:p>
    <w:p>
      <w:pPr>
        <w:pStyle w:val="48"/>
      </w:pPr>
      <w:r>
        <w:t>表7.1-1 废水监测项目点位频次一览表</w:t>
      </w:r>
    </w:p>
    <w:tbl>
      <w:tblPr>
        <w:tblStyle w:val="34"/>
        <w:tblW w:w="49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360"/>
        <w:gridCol w:w="5230"/>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pct"/>
            <w:gridSpan w:val="2"/>
            <w:vAlign w:val="center"/>
          </w:tcPr>
          <w:p>
            <w:pPr>
              <w:widowControl/>
              <w:adjustRightInd w:val="0"/>
              <w:spacing w:line="240" w:lineRule="auto"/>
              <w:ind w:firstLine="0" w:firstLineChars="0"/>
              <w:jc w:val="center"/>
              <w:rPr>
                <w:bCs/>
                <w:sz w:val="21"/>
                <w:szCs w:val="21"/>
              </w:rPr>
            </w:pPr>
            <w:r>
              <w:rPr>
                <w:bCs/>
                <w:sz w:val="21"/>
                <w:szCs w:val="21"/>
              </w:rPr>
              <w:t>监测点位</w:t>
            </w:r>
          </w:p>
        </w:tc>
        <w:tc>
          <w:tcPr>
            <w:tcW w:w="2742" w:type="pct"/>
            <w:vAlign w:val="center"/>
          </w:tcPr>
          <w:p>
            <w:pPr>
              <w:widowControl/>
              <w:adjustRightInd w:val="0"/>
              <w:spacing w:line="240" w:lineRule="auto"/>
              <w:ind w:firstLine="0" w:firstLineChars="0"/>
              <w:jc w:val="center"/>
              <w:rPr>
                <w:bCs/>
                <w:sz w:val="21"/>
                <w:szCs w:val="21"/>
              </w:rPr>
            </w:pPr>
            <w:r>
              <w:rPr>
                <w:bCs/>
                <w:sz w:val="21"/>
                <w:szCs w:val="21"/>
              </w:rPr>
              <w:t>监测因子</w:t>
            </w:r>
          </w:p>
        </w:tc>
        <w:tc>
          <w:tcPr>
            <w:tcW w:w="1004" w:type="pct"/>
            <w:vAlign w:val="center"/>
          </w:tcPr>
          <w:p>
            <w:pPr>
              <w:widowControl/>
              <w:adjustRightInd w:val="0"/>
              <w:spacing w:line="240" w:lineRule="auto"/>
              <w:ind w:firstLine="0" w:firstLineChars="0"/>
              <w:jc w:val="center"/>
              <w:rPr>
                <w:bCs/>
                <w:sz w:val="21"/>
                <w:szCs w:val="21"/>
              </w:rPr>
            </w:pPr>
            <w:r>
              <w:rPr>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39" w:type="pct"/>
            <w:vMerge w:val="restart"/>
            <w:vAlign w:val="center"/>
          </w:tcPr>
          <w:p>
            <w:pPr>
              <w:widowControl/>
              <w:adjustRightInd w:val="0"/>
              <w:spacing w:line="240" w:lineRule="auto"/>
              <w:ind w:firstLine="0" w:firstLineChars="0"/>
              <w:jc w:val="center"/>
              <w:rPr>
                <w:bCs/>
                <w:sz w:val="21"/>
                <w:szCs w:val="21"/>
              </w:rPr>
            </w:pPr>
            <w:r>
              <w:rPr>
                <w:bCs/>
                <w:sz w:val="21"/>
                <w:szCs w:val="21"/>
              </w:rPr>
              <w:t>污水处理设施</w:t>
            </w:r>
          </w:p>
        </w:tc>
        <w:tc>
          <w:tcPr>
            <w:tcW w:w="713" w:type="pct"/>
            <w:vAlign w:val="center"/>
          </w:tcPr>
          <w:p>
            <w:pPr>
              <w:widowControl/>
              <w:adjustRightInd w:val="0"/>
              <w:spacing w:line="240" w:lineRule="auto"/>
              <w:ind w:firstLine="0" w:firstLineChars="0"/>
              <w:jc w:val="center"/>
              <w:rPr>
                <w:bCs/>
                <w:sz w:val="21"/>
                <w:szCs w:val="21"/>
              </w:rPr>
            </w:pPr>
            <w:r>
              <w:rPr>
                <w:bCs/>
                <w:sz w:val="21"/>
                <w:szCs w:val="21"/>
              </w:rPr>
              <w:t>进口</w:t>
            </w:r>
          </w:p>
        </w:tc>
        <w:tc>
          <w:tcPr>
            <w:tcW w:w="2742" w:type="pct"/>
            <w:vMerge w:val="restart"/>
            <w:vAlign w:val="center"/>
          </w:tcPr>
          <w:p>
            <w:pPr>
              <w:adjustRightInd w:val="0"/>
              <w:spacing w:line="240" w:lineRule="auto"/>
              <w:ind w:firstLine="0" w:firstLineChars="0"/>
              <w:jc w:val="center"/>
              <w:rPr>
                <w:bCs/>
                <w:sz w:val="21"/>
                <w:szCs w:val="21"/>
              </w:rPr>
            </w:pPr>
            <w:r>
              <w:rPr>
                <w:rFonts w:hint="eastAsia"/>
                <w:kern w:val="0"/>
                <w:sz w:val="21"/>
                <w:szCs w:val="21"/>
              </w:rPr>
              <w:t>色度、</w:t>
            </w:r>
            <w:r>
              <w:rPr>
                <w:kern w:val="0"/>
                <w:sz w:val="21"/>
                <w:szCs w:val="21"/>
              </w:rPr>
              <w:t>pH、</w:t>
            </w:r>
            <w:r>
              <w:rPr>
                <w:rFonts w:hint="eastAsia"/>
                <w:kern w:val="0"/>
                <w:sz w:val="21"/>
                <w:szCs w:val="21"/>
              </w:rPr>
              <w:t>阴离子表面活性剂、</w:t>
            </w:r>
            <w:r>
              <w:rPr>
                <w:kern w:val="0"/>
                <w:sz w:val="21"/>
                <w:szCs w:val="21"/>
              </w:rPr>
              <w:t>BOD5、</w:t>
            </w:r>
            <w:r>
              <w:rPr>
                <w:rFonts w:hint="eastAsia"/>
                <w:kern w:val="0"/>
                <w:sz w:val="21"/>
                <w:szCs w:val="21"/>
              </w:rPr>
              <w:t>溶解性总固体、粪大肠菌群</w:t>
            </w:r>
          </w:p>
        </w:tc>
        <w:tc>
          <w:tcPr>
            <w:tcW w:w="1004" w:type="pct"/>
            <w:vMerge w:val="restart"/>
            <w:vAlign w:val="center"/>
          </w:tcPr>
          <w:p>
            <w:pPr>
              <w:adjustRightInd w:val="0"/>
              <w:spacing w:line="240" w:lineRule="auto"/>
              <w:ind w:firstLine="0" w:firstLineChars="0"/>
              <w:jc w:val="center"/>
              <w:rPr>
                <w:bCs/>
                <w:sz w:val="21"/>
                <w:szCs w:val="21"/>
              </w:rPr>
            </w:pPr>
            <w:r>
              <w:rPr>
                <w:bCs/>
                <w:sz w:val="21"/>
                <w:szCs w:val="21"/>
              </w:rPr>
              <w:t>监测2天，每天采样4次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9" w:type="pct"/>
            <w:vMerge w:val="continue"/>
            <w:vAlign w:val="center"/>
          </w:tcPr>
          <w:p>
            <w:pPr>
              <w:widowControl/>
              <w:adjustRightInd w:val="0"/>
              <w:spacing w:line="240" w:lineRule="auto"/>
              <w:ind w:firstLine="0" w:firstLineChars="0"/>
              <w:jc w:val="center"/>
              <w:rPr>
                <w:bCs/>
                <w:sz w:val="21"/>
                <w:szCs w:val="21"/>
              </w:rPr>
            </w:pPr>
          </w:p>
        </w:tc>
        <w:tc>
          <w:tcPr>
            <w:tcW w:w="713" w:type="pct"/>
            <w:vAlign w:val="center"/>
          </w:tcPr>
          <w:p>
            <w:pPr>
              <w:widowControl/>
              <w:adjustRightInd w:val="0"/>
              <w:spacing w:line="240" w:lineRule="auto"/>
              <w:ind w:firstLine="0" w:firstLineChars="0"/>
              <w:jc w:val="center"/>
              <w:rPr>
                <w:bCs/>
                <w:sz w:val="21"/>
                <w:szCs w:val="21"/>
              </w:rPr>
            </w:pPr>
            <w:r>
              <w:rPr>
                <w:bCs/>
                <w:sz w:val="21"/>
                <w:szCs w:val="21"/>
              </w:rPr>
              <w:t>出口</w:t>
            </w:r>
          </w:p>
        </w:tc>
        <w:tc>
          <w:tcPr>
            <w:tcW w:w="2742" w:type="pct"/>
            <w:vMerge w:val="continue"/>
            <w:vAlign w:val="center"/>
          </w:tcPr>
          <w:p>
            <w:pPr>
              <w:adjustRightInd w:val="0"/>
              <w:spacing w:line="240" w:lineRule="auto"/>
              <w:ind w:firstLine="0" w:firstLineChars="0"/>
              <w:jc w:val="center"/>
              <w:rPr>
                <w:bCs/>
                <w:sz w:val="21"/>
                <w:szCs w:val="21"/>
              </w:rPr>
            </w:pPr>
          </w:p>
        </w:tc>
        <w:tc>
          <w:tcPr>
            <w:tcW w:w="1004" w:type="pct"/>
            <w:vMerge w:val="continue"/>
            <w:vAlign w:val="center"/>
          </w:tcPr>
          <w:p>
            <w:pPr>
              <w:adjustRightInd w:val="0"/>
              <w:spacing w:line="240" w:lineRule="auto"/>
              <w:ind w:firstLine="0" w:firstLineChars="0"/>
              <w:jc w:val="center"/>
              <w:rPr>
                <w:bCs/>
                <w:sz w:val="21"/>
                <w:szCs w:val="21"/>
              </w:rPr>
            </w:pPr>
          </w:p>
        </w:tc>
      </w:tr>
    </w:tbl>
    <w:p>
      <w:pPr>
        <w:ind w:firstLine="480"/>
      </w:pPr>
    </w:p>
    <w:p>
      <w:pPr>
        <w:pStyle w:val="5"/>
      </w:pPr>
      <w:r>
        <w:t>7.1.</w:t>
      </w:r>
      <w:r>
        <w:rPr>
          <w:rFonts w:hint="eastAsia"/>
        </w:rPr>
        <w:t>2</w:t>
      </w:r>
      <w:r>
        <w:t>废气</w:t>
      </w:r>
      <w:bookmarkEnd w:id="853"/>
    </w:p>
    <w:p>
      <w:pPr>
        <w:numPr>
          <w:ilvl w:val="0"/>
          <w:numId w:val="6"/>
        </w:numPr>
        <w:ind w:firstLine="480"/>
      </w:pPr>
      <w:bookmarkStart w:id="860" w:name="_Toc14120_WPSOffice_Level3"/>
      <w:bookmarkStart w:id="861" w:name="_Toc24076_WPSOffice_Level3"/>
      <w:r>
        <w:t>有组织排放</w:t>
      </w:r>
      <w:bookmarkEnd w:id="860"/>
      <w:bookmarkEnd w:id="861"/>
    </w:p>
    <w:p>
      <w:pPr>
        <w:ind w:firstLine="480"/>
      </w:pPr>
      <w:r>
        <w:t>有组织废气排放监测点位、因子及频次见表7.1-2。</w:t>
      </w:r>
    </w:p>
    <w:p>
      <w:pPr>
        <w:pStyle w:val="48"/>
      </w:pPr>
      <w:bookmarkStart w:id="862" w:name="_Toc5586_WPSOffice_Level3"/>
      <w:bookmarkStart w:id="863" w:name="_Toc19619_WPSOffice_Level3"/>
      <w:r>
        <w:t>表7.1-2 有组织排放废气监测项目点位频次一览表</w:t>
      </w:r>
      <w:bookmarkEnd w:id="862"/>
      <w:bookmarkEnd w:id="863"/>
    </w:p>
    <w:tbl>
      <w:tblPr>
        <w:tblStyle w:val="34"/>
        <w:tblW w:w="49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3"/>
        <w:gridCol w:w="3080"/>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widowControl/>
              <w:spacing w:line="240" w:lineRule="auto"/>
              <w:ind w:firstLine="0" w:firstLineChars="0"/>
              <w:jc w:val="center"/>
              <w:rPr>
                <w:bCs/>
                <w:color w:val="000000"/>
                <w:sz w:val="21"/>
                <w:szCs w:val="21"/>
              </w:rPr>
            </w:pPr>
            <w:r>
              <w:rPr>
                <w:bCs/>
                <w:color w:val="000000"/>
                <w:sz w:val="21"/>
                <w:szCs w:val="21"/>
              </w:rPr>
              <w:t>监测点位</w:t>
            </w:r>
          </w:p>
        </w:tc>
        <w:tc>
          <w:tcPr>
            <w:tcW w:w="1615" w:type="pct"/>
            <w:vAlign w:val="center"/>
          </w:tcPr>
          <w:p>
            <w:pPr>
              <w:widowControl/>
              <w:spacing w:line="240" w:lineRule="auto"/>
              <w:ind w:firstLine="0" w:firstLineChars="0"/>
              <w:jc w:val="center"/>
              <w:rPr>
                <w:bCs/>
                <w:color w:val="000000"/>
                <w:sz w:val="21"/>
                <w:szCs w:val="21"/>
              </w:rPr>
            </w:pPr>
            <w:r>
              <w:rPr>
                <w:bCs/>
                <w:color w:val="000000"/>
                <w:sz w:val="21"/>
                <w:szCs w:val="21"/>
              </w:rPr>
              <w:t>监测因子</w:t>
            </w:r>
          </w:p>
        </w:tc>
        <w:tc>
          <w:tcPr>
            <w:tcW w:w="1688" w:type="pct"/>
            <w:vAlign w:val="center"/>
          </w:tcPr>
          <w:p>
            <w:pPr>
              <w:spacing w:line="240" w:lineRule="auto"/>
              <w:ind w:firstLine="0" w:firstLineChars="0"/>
              <w:jc w:val="center"/>
              <w:rPr>
                <w:bCs/>
                <w:color w:val="000000"/>
                <w:sz w:val="21"/>
                <w:szCs w:val="21"/>
              </w:rPr>
            </w:pPr>
            <w:r>
              <w:rPr>
                <w:bCs/>
                <w:color w:val="00000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shd w:val="clear" w:color="auto" w:fill="auto"/>
            <w:vAlign w:val="center"/>
          </w:tcPr>
          <w:p>
            <w:pPr>
              <w:widowControl/>
              <w:spacing w:line="240" w:lineRule="auto"/>
              <w:ind w:firstLine="0" w:firstLineChars="0"/>
              <w:jc w:val="center"/>
              <w:rPr>
                <w:bCs/>
                <w:sz w:val="21"/>
                <w:szCs w:val="21"/>
              </w:rPr>
            </w:pPr>
            <w:r>
              <w:rPr>
                <w:rFonts w:hint="eastAsia"/>
                <w:bCs/>
                <w:sz w:val="21"/>
                <w:szCs w:val="21"/>
              </w:rPr>
              <w:t>机加工</w:t>
            </w:r>
            <w:r>
              <w:rPr>
                <w:bCs/>
                <w:sz w:val="21"/>
                <w:szCs w:val="21"/>
                <w:lang w:eastAsia="en-US"/>
              </w:rPr>
              <w:t>排气筒DA001</w:t>
            </w:r>
          </w:p>
        </w:tc>
        <w:tc>
          <w:tcPr>
            <w:tcW w:w="1615" w:type="pct"/>
            <w:vAlign w:val="center"/>
          </w:tcPr>
          <w:p>
            <w:pPr>
              <w:widowControl/>
              <w:spacing w:line="240" w:lineRule="auto"/>
              <w:ind w:firstLine="0" w:firstLineChars="0"/>
              <w:jc w:val="center"/>
              <w:rPr>
                <w:bCs/>
                <w:color w:val="000000"/>
                <w:sz w:val="21"/>
                <w:szCs w:val="21"/>
              </w:rPr>
            </w:pPr>
            <w:r>
              <w:rPr>
                <w:bCs/>
                <w:color w:val="000000"/>
                <w:sz w:val="21"/>
                <w:szCs w:val="21"/>
              </w:rPr>
              <w:t>颗粒物</w:t>
            </w:r>
          </w:p>
        </w:tc>
        <w:tc>
          <w:tcPr>
            <w:tcW w:w="1688" w:type="pct"/>
            <w:vMerge w:val="restart"/>
            <w:vAlign w:val="center"/>
          </w:tcPr>
          <w:p>
            <w:pPr>
              <w:widowControl/>
              <w:spacing w:line="240" w:lineRule="auto"/>
              <w:ind w:firstLine="0" w:firstLineChars="0"/>
              <w:jc w:val="center"/>
              <w:rPr>
                <w:sz w:val="21"/>
                <w:szCs w:val="21"/>
              </w:rPr>
            </w:pPr>
            <w:r>
              <w:rPr>
                <w:bCs/>
                <w:color w:val="000000"/>
                <w:sz w:val="21"/>
                <w:szCs w:val="21"/>
              </w:rPr>
              <w:t>监测2天，每天采样3次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shd w:val="clear" w:color="auto" w:fill="auto"/>
            <w:vAlign w:val="center"/>
          </w:tcPr>
          <w:p>
            <w:pPr>
              <w:widowControl/>
              <w:spacing w:line="240" w:lineRule="auto"/>
              <w:ind w:firstLine="0" w:firstLineChars="0"/>
              <w:jc w:val="center"/>
              <w:rPr>
                <w:bCs/>
                <w:sz w:val="21"/>
                <w:szCs w:val="21"/>
              </w:rPr>
            </w:pPr>
            <w:r>
              <w:rPr>
                <w:rFonts w:hint="eastAsia"/>
                <w:bCs/>
                <w:sz w:val="21"/>
                <w:szCs w:val="21"/>
              </w:rPr>
              <w:t>机加工废气处理设施前采样口</w:t>
            </w:r>
          </w:p>
        </w:tc>
        <w:tc>
          <w:tcPr>
            <w:tcW w:w="1615" w:type="pct"/>
            <w:vAlign w:val="center"/>
          </w:tcPr>
          <w:p>
            <w:pPr>
              <w:widowControl/>
              <w:spacing w:line="240" w:lineRule="auto"/>
              <w:ind w:firstLine="0" w:firstLineChars="0"/>
              <w:jc w:val="center"/>
              <w:rPr>
                <w:bCs/>
                <w:color w:val="000000"/>
                <w:sz w:val="21"/>
                <w:szCs w:val="21"/>
              </w:rPr>
            </w:pPr>
            <w:r>
              <w:rPr>
                <w:bCs/>
                <w:color w:val="000000"/>
                <w:sz w:val="21"/>
                <w:szCs w:val="21"/>
              </w:rPr>
              <w:t>颗粒物</w:t>
            </w:r>
          </w:p>
        </w:tc>
        <w:tc>
          <w:tcPr>
            <w:tcW w:w="1688" w:type="pct"/>
            <w:vMerge w:val="continue"/>
            <w:vAlign w:val="center"/>
          </w:tcPr>
          <w:p>
            <w:pPr>
              <w:widowControl/>
              <w:spacing w:line="240" w:lineRule="auto"/>
              <w:ind w:firstLine="0" w:firstLineChars="0"/>
              <w:jc w:val="center"/>
              <w:rPr>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shd w:val="clear" w:color="auto" w:fill="auto"/>
            <w:vAlign w:val="center"/>
          </w:tcPr>
          <w:p>
            <w:pPr>
              <w:pStyle w:val="77"/>
              <w:rPr>
                <w:bCs/>
              </w:rPr>
            </w:pPr>
            <w:r>
              <w:rPr>
                <w:rFonts w:hint="eastAsia"/>
              </w:rPr>
              <w:t>喷粉</w:t>
            </w:r>
            <w:r>
              <w:rPr>
                <w:lang w:eastAsia="en-US"/>
              </w:rPr>
              <w:t>排气筒DA002</w:t>
            </w:r>
          </w:p>
        </w:tc>
        <w:tc>
          <w:tcPr>
            <w:tcW w:w="1615" w:type="pct"/>
            <w:vAlign w:val="center"/>
          </w:tcPr>
          <w:p>
            <w:pPr>
              <w:widowControl/>
              <w:spacing w:line="240" w:lineRule="auto"/>
              <w:ind w:firstLine="0" w:firstLineChars="0"/>
              <w:jc w:val="center"/>
              <w:rPr>
                <w:bCs/>
                <w:sz w:val="21"/>
                <w:szCs w:val="21"/>
              </w:rPr>
            </w:pPr>
            <w:r>
              <w:rPr>
                <w:bCs/>
                <w:color w:val="000000"/>
                <w:sz w:val="21"/>
                <w:szCs w:val="21"/>
              </w:rPr>
              <w:t>颗粒物</w:t>
            </w:r>
          </w:p>
        </w:tc>
        <w:tc>
          <w:tcPr>
            <w:tcW w:w="1688"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shd w:val="clear" w:color="auto" w:fill="auto"/>
            <w:vAlign w:val="center"/>
          </w:tcPr>
          <w:p>
            <w:pPr>
              <w:pStyle w:val="77"/>
              <w:rPr>
                <w:bCs/>
              </w:rPr>
            </w:pPr>
            <w:r>
              <w:rPr>
                <w:rFonts w:hint="eastAsia"/>
              </w:rPr>
              <w:t>喷粉废气处理设施前采样口</w:t>
            </w:r>
          </w:p>
        </w:tc>
        <w:tc>
          <w:tcPr>
            <w:tcW w:w="1615" w:type="pct"/>
            <w:vAlign w:val="center"/>
          </w:tcPr>
          <w:p>
            <w:pPr>
              <w:widowControl/>
              <w:spacing w:line="240" w:lineRule="auto"/>
              <w:ind w:firstLine="0" w:firstLineChars="0"/>
              <w:jc w:val="center"/>
              <w:rPr>
                <w:bCs/>
                <w:sz w:val="21"/>
                <w:szCs w:val="21"/>
              </w:rPr>
            </w:pPr>
            <w:r>
              <w:rPr>
                <w:bCs/>
                <w:color w:val="000000"/>
                <w:sz w:val="21"/>
                <w:szCs w:val="21"/>
              </w:rPr>
              <w:t>颗粒物</w:t>
            </w:r>
          </w:p>
        </w:tc>
        <w:tc>
          <w:tcPr>
            <w:tcW w:w="1688"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shd w:val="clear" w:color="auto" w:fill="auto"/>
            <w:vAlign w:val="center"/>
          </w:tcPr>
          <w:p>
            <w:pPr>
              <w:widowControl/>
              <w:spacing w:line="240" w:lineRule="auto"/>
              <w:ind w:firstLine="0" w:firstLineChars="0"/>
              <w:jc w:val="center"/>
              <w:rPr>
                <w:bCs/>
                <w:sz w:val="21"/>
                <w:szCs w:val="21"/>
              </w:rPr>
            </w:pPr>
            <w:r>
              <w:rPr>
                <w:rFonts w:hint="eastAsia"/>
                <w:sz w:val="21"/>
                <w:szCs w:val="21"/>
              </w:rPr>
              <w:t>喷漆固化</w:t>
            </w:r>
            <w:r>
              <w:rPr>
                <w:sz w:val="21"/>
                <w:szCs w:val="21"/>
                <w:lang w:eastAsia="en-US"/>
              </w:rPr>
              <w:t>排气筒DA00</w:t>
            </w:r>
            <w:r>
              <w:rPr>
                <w:sz w:val="21"/>
                <w:szCs w:val="21"/>
              </w:rPr>
              <w:t>3</w:t>
            </w:r>
          </w:p>
        </w:tc>
        <w:tc>
          <w:tcPr>
            <w:tcW w:w="1615" w:type="pct"/>
            <w:vAlign w:val="center"/>
          </w:tcPr>
          <w:p>
            <w:pPr>
              <w:widowControl/>
              <w:spacing w:line="240" w:lineRule="auto"/>
              <w:ind w:firstLine="0" w:firstLineChars="0"/>
              <w:jc w:val="center"/>
              <w:rPr>
                <w:bCs/>
                <w:sz w:val="21"/>
                <w:szCs w:val="21"/>
              </w:rPr>
            </w:pPr>
            <w:r>
              <w:rPr>
                <w:bCs/>
                <w:sz w:val="21"/>
                <w:szCs w:val="21"/>
              </w:rPr>
              <w:t>颗粒物、VOCs</w:t>
            </w:r>
          </w:p>
        </w:tc>
        <w:tc>
          <w:tcPr>
            <w:tcW w:w="1688"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shd w:val="clear" w:color="auto" w:fill="auto"/>
            <w:vAlign w:val="center"/>
          </w:tcPr>
          <w:p>
            <w:pPr>
              <w:widowControl/>
              <w:spacing w:line="240" w:lineRule="auto"/>
              <w:ind w:firstLine="0" w:firstLineChars="0"/>
              <w:jc w:val="center"/>
              <w:rPr>
                <w:bCs/>
                <w:color w:val="000000"/>
                <w:sz w:val="21"/>
                <w:szCs w:val="21"/>
              </w:rPr>
            </w:pPr>
            <w:r>
              <w:rPr>
                <w:rFonts w:hint="eastAsia"/>
                <w:sz w:val="21"/>
                <w:szCs w:val="21"/>
              </w:rPr>
              <w:t>喷漆固化</w:t>
            </w:r>
            <w:r>
              <w:rPr>
                <w:bCs/>
                <w:color w:val="000000"/>
                <w:sz w:val="21"/>
                <w:szCs w:val="21"/>
              </w:rPr>
              <w:t>废气处理设施前采样口</w:t>
            </w:r>
          </w:p>
        </w:tc>
        <w:tc>
          <w:tcPr>
            <w:tcW w:w="1615" w:type="pct"/>
            <w:vAlign w:val="center"/>
          </w:tcPr>
          <w:p>
            <w:pPr>
              <w:widowControl/>
              <w:spacing w:line="240" w:lineRule="auto"/>
              <w:ind w:firstLine="0" w:firstLineChars="0"/>
              <w:jc w:val="center"/>
              <w:rPr>
                <w:bCs/>
                <w:sz w:val="21"/>
                <w:szCs w:val="21"/>
              </w:rPr>
            </w:pPr>
            <w:r>
              <w:rPr>
                <w:bCs/>
                <w:sz w:val="21"/>
                <w:szCs w:val="21"/>
              </w:rPr>
              <w:t>颗粒物、VOCs</w:t>
            </w:r>
          </w:p>
        </w:tc>
        <w:tc>
          <w:tcPr>
            <w:tcW w:w="1688" w:type="pct"/>
            <w:vMerge w:val="continue"/>
            <w:vAlign w:val="center"/>
          </w:tcPr>
          <w:p>
            <w:pPr>
              <w:spacing w:line="240" w:lineRule="auto"/>
              <w:ind w:firstLine="0" w:firstLineChars="0"/>
              <w:jc w:val="center"/>
              <w:rPr>
                <w:sz w:val="21"/>
                <w:szCs w:val="21"/>
              </w:rPr>
            </w:pPr>
          </w:p>
        </w:tc>
      </w:tr>
    </w:tbl>
    <w:p>
      <w:pPr>
        <w:spacing w:line="240" w:lineRule="auto"/>
        <w:ind w:firstLine="480"/>
        <w:rPr>
          <w:color w:val="FF0000"/>
          <w:highlight w:val="red"/>
        </w:rPr>
      </w:pPr>
    </w:p>
    <w:p>
      <w:pPr>
        <w:ind w:firstLine="480"/>
        <w:rPr>
          <w:bCs/>
        </w:rPr>
      </w:pPr>
      <w:bookmarkStart w:id="864" w:name="_Toc26009_WPSOffice_Level3"/>
      <w:bookmarkStart w:id="865" w:name="_Toc5955_WPSOffice_Level3"/>
      <w:r>
        <w:rPr>
          <w:bCs/>
        </w:rPr>
        <w:t>2、无组织排放</w:t>
      </w:r>
      <w:bookmarkEnd w:id="864"/>
      <w:bookmarkEnd w:id="865"/>
    </w:p>
    <w:p>
      <w:pPr>
        <w:ind w:firstLine="480"/>
      </w:pPr>
      <w:r>
        <w:t>无组织废气排放监测点位、因子及频次见表7.1-2。</w:t>
      </w:r>
    </w:p>
    <w:p>
      <w:pPr>
        <w:pStyle w:val="48"/>
      </w:pPr>
      <w:bookmarkStart w:id="866" w:name="_Toc13973_WPSOffice_Level3"/>
      <w:bookmarkStart w:id="867" w:name="_Toc4977_WPSOffice_Level3"/>
      <w:r>
        <w:t>表7.1-2 无组织排放监测项目点位频次一览表</w:t>
      </w:r>
      <w:bookmarkEnd w:id="866"/>
      <w:bookmarkEnd w:id="867"/>
    </w:p>
    <w:tbl>
      <w:tblPr>
        <w:tblStyle w:val="34"/>
        <w:tblW w:w="49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3"/>
        <w:gridCol w:w="3488"/>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93" w:type="pct"/>
            <w:vAlign w:val="center"/>
          </w:tcPr>
          <w:p>
            <w:pPr>
              <w:widowControl/>
              <w:spacing w:line="240" w:lineRule="auto"/>
              <w:ind w:firstLine="0" w:firstLineChars="0"/>
              <w:jc w:val="center"/>
              <w:rPr>
                <w:bCs/>
                <w:color w:val="000000"/>
                <w:sz w:val="21"/>
                <w:szCs w:val="21"/>
              </w:rPr>
            </w:pPr>
            <w:r>
              <w:rPr>
                <w:bCs/>
                <w:color w:val="000000"/>
                <w:sz w:val="21"/>
                <w:szCs w:val="21"/>
              </w:rPr>
              <w:t>监测点位</w:t>
            </w:r>
          </w:p>
        </w:tc>
        <w:tc>
          <w:tcPr>
            <w:tcW w:w="1832" w:type="pct"/>
            <w:vAlign w:val="center"/>
          </w:tcPr>
          <w:p>
            <w:pPr>
              <w:widowControl/>
              <w:spacing w:line="240" w:lineRule="auto"/>
              <w:ind w:firstLine="0" w:firstLineChars="0"/>
              <w:jc w:val="center"/>
              <w:rPr>
                <w:bCs/>
                <w:color w:val="000000"/>
                <w:sz w:val="21"/>
                <w:szCs w:val="21"/>
              </w:rPr>
            </w:pPr>
            <w:r>
              <w:rPr>
                <w:bCs/>
                <w:color w:val="000000"/>
                <w:sz w:val="21"/>
                <w:szCs w:val="21"/>
              </w:rPr>
              <w:t>监测因子</w:t>
            </w:r>
          </w:p>
        </w:tc>
        <w:tc>
          <w:tcPr>
            <w:tcW w:w="1373" w:type="pct"/>
            <w:vAlign w:val="center"/>
          </w:tcPr>
          <w:p>
            <w:pPr>
              <w:widowControl/>
              <w:spacing w:line="240" w:lineRule="auto"/>
              <w:ind w:firstLine="0" w:firstLineChars="0"/>
              <w:jc w:val="center"/>
              <w:rPr>
                <w:bCs/>
                <w:color w:val="000000"/>
                <w:sz w:val="21"/>
                <w:szCs w:val="21"/>
              </w:rPr>
            </w:pPr>
            <w:r>
              <w:rPr>
                <w:bCs/>
                <w:color w:val="00000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93" w:type="pct"/>
            <w:vAlign w:val="center"/>
          </w:tcPr>
          <w:p>
            <w:pPr>
              <w:widowControl/>
              <w:spacing w:line="240" w:lineRule="auto"/>
              <w:ind w:firstLine="0" w:firstLineChars="0"/>
              <w:jc w:val="center"/>
              <w:rPr>
                <w:bCs/>
                <w:color w:val="000000"/>
                <w:sz w:val="21"/>
                <w:szCs w:val="21"/>
              </w:rPr>
            </w:pPr>
            <w:r>
              <w:rPr>
                <w:rFonts w:hint="eastAsia"/>
                <w:bCs/>
                <w:color w:val="000000"/>
                <w:sz w:val="21"/>
                <w:szCs w:val="21"/>
              </w:rPr>
              <w:t>厂区无组织废气</w:t>
            </w:r>
          </w:p>
        </w:tc>
        <w:tc>
          <w:tcPr>
            <w:tcW w:w="1832" w:type="pct"/>
            <w:vAlign w:val="center"/>
          </w:tcPr>
          <w:p>
            <w:pPr>
              <w:widowControl/>
              <w:spacing w:line="240" w:lineRule="auto"/>
              <w:ind w:firstLine="0" w:firstLineChars="0"/>
              <w:jc w:val="center"/>
              <w:rPr>
                <w:bCs/>
                <w:color w:val="000000"/>
                <w:sz w:val="21"/>
                <w:szCs w:val="21"/>
              </w:rPr>
            </w:pPr>
            <w:r>
              <w:rPr>
                <w:bCs/>
                <w:color w:val="000000"/>
                <w:sz w:val="21"/>
                <w:szCs w:val="21"/>
              </w:rPr>
              <w:t>VOCs</w:t>
            </w:r>
            <w:r>
              <w:rPr>
                <w:rFonts w:hint="eastAsia"/>
                <w:bCs/>
                <w:color w:val="000000"/>
                <w:sz w:val="21"/>
                <w:szCs w:val="21"/>
              </w:rPr>
              <w:t>（以非甲烷总烃计）</w:t>
            </w:r>
          </w:p>
        </w:tc>
        <w:tc>
          <w:tcPr>
            <w:tcW w:w="1373" w:type="pct"/>
            <w:vMerge w:val="restart"/>
            <w:vAlign w:val="center"/>
          </w:tcPr>
          <w:p>
            <w:pPr>
              <w:spacing w:line="240" w:lineRule="auto"/>
              <w:ind w:firstLine="0" w:firstLineChars="0"/>
              <w:jc w:val="center"/>
              <w:rPr>
                <w:bCs/>
                <w:color w:val="000000"/>
                <w:sz w:val="21"/>
                <w:szCs w:val="21"/>
              </w:rPr>
            </w:pPr>
            <w:r>
              <w:rPr>
                <w:bCs/>
                <w:color w:val="000000"/>
                <w:sz w:val="21"/>
                <w:szCs w:val="21"/>
              </w:rPr>
              <w:t>监测2天，每天采样4次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93" w:type="pct"/>
            <w:vAlign w:val="center"/>
          </w:tcPr>
          <w:p>
            <w:pPr>
              <w:widowControl/>
              <w:spacing w:line="240" w:lineRule="auto"/>
              <w:ind w:firstLine="0" w:firstLineChars="0"/>
              <w:jc w:val="center"/>
              <w:rPr>
                <w:bCs/>
                <w:color w:val="000000"/>
                <w:sz w:val="21"/>
                <w:szCs w:val="21"/>
              </w:rPr>
            </w:pPr>
            <w:r>
              <w:rPr>
                <w:bCs/>
                <w:color w:val="000000"/>
                <w:sz w:val="21"/>
                <w:szCs w:val="21"/>
              </w:rPr>
              <w:t>在厂界上风向设置1个参照点，下风向设置3个监控点</w:t>
            </w:r>
          </w:p>
        </w:tc>
        <w:tc>
          <w:tcPr>
            <w:tcW w:w="1832" w:type="pct"/>
            <w:vAlign w:val="center"/>
          </w:tcPr>
          <w:p>
            <w:pPr>
              <w:widowControl/>
              <w:spacing w:line="240" w:lineRule="auto"/>
              <w:ind w:firstLine="0" w:firstLineChars="0"/>
              <w:jc w:val="center"/>
              <w:rPr>
                <w:bCs/>
                <w:color w:val="000000"/>
                <w:sz w:val="21"/>
                <w:szCs w:val="21"/>
              </w:rPr>
            </w:pPr>
            <w:r>
              <w:rPr>
                <w:rFonts w:hint="eastAsia"/>
                <w:bCs/>
                <w:color w:val="000000"/>
                <w:sz w:val="21"/>
                <w:szCs w:val="21"/>
              </w:rPr>
              <w:t>颗粒物、VOCs（以非甲烷总烃计）</w:t>
            </w:r>
          </w:p>
        </w:tc>
        <w:tc>
          <w:tcPr>
            <w:tcW w:w="1373" w:type="pct"/>
            <w:vMerge w:val="continue"/>
            <w:vAlign w:val="center"/>
          </w:tcPr>
          <w:p>
            <w:pPr>
              <w:spacing w:line="240" w:lineRule="auto"/>
              <w:ind w:firstLine="0" w:firstLineChars="0"/>
              <w:jc w:val="center"/>
              <w:rPr>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3"/>
            <w:vAlign w:val="center"/>
          </w:tcPr>
          <w:p>
            <w:pPr>
              <w:spacing w:line="240" w:lineRule="auto"/>
              <w:ind w:firstLine="0" w:firstLineChars="0"/>
              <w:jc w:val="left"/>
              <w:rPr>
                <w:bCs/>
                <w:color w:val="000000"/>
                <w:sz w:val="21"/>
                <w:szCs w:val="21"/>
              </w:rPr>
            </w:pPr>
            <w:r>
              <w:rPr>
                <w:bCs/>
                <w:color w:val="000000"/>
                <w:sz w:val="21"/>
                <w:szCs w:val="21"/>
              </w:rPr>
              <w:t>备注：同步记录气象条件（气温、气压、风速、风向等）</w:t>
            </w:r>
          </w:p>
        </w:tc>
      </w:tr>
    </w:tbl>
    <w:p>
      <w:pPr>
        <w:spacing w:line="240" w:lineRule="auto"/>
        <w:ind w:firstLine="480"/>
        <w:rPr>
          <w:color w:val="FF0000"/>
          <w:highlight w:val="red"/>
        </w:rPr>
      </w:pPr>
    </w:p>
    <w:p>
      <w:pPr>
        <w:pStyle w:val="5"/>
      </w:pPr>
      <w:bookmarkStart w:id="868" w:name="_Toc14816_WPSOffice_Level3"/>
      <w:r>
        <w:t>7.1.</w:t>
      </w:r>
      <w:r>
        <w:rPr>
          <w:rFonts w:hint="eastAsia"/>
        </w:rPr>
        <w:t>2</w:t>
      </w:r>
      <w:r>
        <w:t xml:space="preserve"> 噪声</w:t>
      </w:r>
      <w:bookmarkEnd w:id="868"/>
    </w:p>
    <w:p>
      <w:pPr>
        <w:ind w:firstLine="480"/>
      </w:pPr>
      <w:r>
        <w:t>噪声监测点位、监测内容及监测频次见表7.1-3。</w:t>
      </w:r>
    </w:p>
    <w:p>
      <w:pPr>
        <w:ind w:firstLine="480"/>
      </w:pPr>
      <w:bookmarkStart w:id="869" w:name="_Toc26543_WPSOffice_Level3"/>
      <w:bookmarkStart w:id="870" w:name="_Toc8149_WPSOffice_Level3"/>
      <w:r>
        <w:br w:type="page"/>
      </w:r>
    </w:p>
    <w:p>
      <w:pPr>
        <w:pStyle w:val="48"/>
      </w:pPr>
      <w:r>
        <w:t>表7.1-3 厂界噪声监测点位频次一览表</w:t>
      </w:r>
      <w:bookmarkEnd w:id="869"/>
      <w:bookmarkEnd w:id="870"/>
    </w:p>
    <w:p>
      <w:pPr>
        <w:ind w:firstLine="480"/>
      </w:pPr>
    </w:p>
    <w:tbl>
      <w:tblPr>
        <w:tblStyle w:val="34"/>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2437"/>
        <w:gridCol w:w="2838"/>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Align w:val="center"/>
          </w:tcPr>
          <w:p>
            <w:pPr>
              <w:widowControl/>
              <w:spacing w:line="240" w:lineRule="auto"/>
              <w:ind w:firstLine="0" w:firstLineChars="0"/>
              <w:jc w:val="center"/>
              <w:rPr>
                <w:bCs/>
                <w:color w:val="000000"/>
                <w:sz w:val="21"/>
                <w:szCs w:val="21"/>
              </w:rPr>
            </w:pPr>
            <w:r>
              <w:rPr>
                <w:bCs/>
                <w:color w:val="000000"/>
                <w:sz w:val="21"/>
                <w:szCs w:val="21"/>
              </w:rPr>
              <w:t>检测点位</w:t>
            </w:r>
          </w:p>
        </w:tc>
        <w:tc>
          <w:tcPr>
            <w:tcW w:w="2437" w:type="dxa"/>
            <w:vAlign w:val="center"/>
          </w:tcPr>
          <w:p>
            <w:pPr>
              <w:widowControl/>
              <w:spacing w:line="240" w:lineRule="auto"/>
              <w:ind w:firstLine="0" w:firstLineChars="0"/>
              <w:jc w:val="center"/>
              <w:rPr>
                <w:bCs/>
                <w:color w:val="000000"/>
                <w:sz w:val="21"/>
                <w:szCs w:val="21"/>
              </w:rPr>
            </w:pPr>
            <w:r>
              <w:rPr>
                <w:bCs/>
                <w:color w:val="000000"/>
                <w:sz w:val="21"/>
                <w:szCs w:val="21"/>
              </w:rPr>
              <w:t>检测项目</w:t>
            </w:r>
          </w:p>
        </w:tc>
        <w:tc>
          <w:tcPr>
            <w:tcW w:w="2838" w:type="dxa"/>
            <w:vAlign w:val="center"/>
          </w:tcPr>
          <w:p>
            <w:pPr>
              <w:widowControl/>
              <w:spacing w:line="240" w:lineRule="auto"/>
              <w:ind w:firstLine="0" w:firstLineChars="0"/>
              <w:jc w:val="center"/>
              <w:rPr>
                <w:bCs/>
                <w:color w:val="000000"/>
                <w:sz w:val="21"/>
                <w:szCs w:val="21"/>
              </w:rPr>
            </w:pPr>
            <w:r>
              <w:rPr>
                <w:bCs/>
                <w:color w:val="000000"/>
                <w:sz w:val="21"/>
                <w:szCs w:val="21"/>
              </w:rPr>
              <w:t>检测频次</w:t>
            </w:r>
          </w:p>
        </w:tc>
        <w:tc>
          <w:tcPr>
            <w:tcW w:w="1982" w:type="dxa"/>
            <w:vAlign w:val="center"/>
          </w:tcPr>
          <w:p>
            <w:pPr>
              <w:widowControl/>
              <w:spacing w:line="240" w:lineRule="auto"/>
              <w:ind w:firstLine="0" w:firstLineChars="0"/>
              <w:jc w:val="center"/>
              <w:rPr>
                <w:bCs/>
                <w:color w:val="000000"/>
                <w:sz w:val="21"/>
                <w:szCs w:val="21"/>
              </w:rPr>
            </w:pPr>
            <w:r>
              <w:rPr>
                <w:rFonts w:hint="eastAsia"/>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Align w:val="center"/>
          </w:tcPr>
          <w:p>
            <w:pPr>
              <w:widowControl/>
              <w:spacing w:line="240" w:lineRule="auto"/>
              <w:ind w:firstLine="0" w:firstLineChars="0"/>
              <w:jc w:val="center"/>
              <w:rPr>
                <w:bCs/>
                <w:color w:val="000000"/>
                <w:sz w:val="21"/>
                <w:szCs w:val="21"/>
              </w:rPr>
            </w:pPr>
            <w:r>
              <w:rPr>
                <w:bCs/>
                <w:color w:val="000000"/>
                <w:sz w:val="21"/>
                <w:szCs w:val="21"/>
              </w:rPr>
              <w:t>东厂界</w:t>
            </w:r>
          </w:p>
        </w:tc>
        <w:tc>
          <w:tcPr>
            <w:tcW w:w="2437" w:type="dxa"/>
            <w:vMerge w:val="restart"/>
            <w:vAlign w:val="center"/>
          </w:tcPr>
          <w:p>
            <w:pPr>
              <w:widowControl/>
              <w:spacing w:line="240" w:lineRule="auto"/>
              <w:ind w:firstLine="0" w:firstLineChars="0"/>
              <w:jc w:val="center"/>
              <w:rPr>
                <w:bCs/>
                <w:color w:val="000000"/>
                <w:sz w:val="21"/>
                <w:szCs w:val="21"/>
              </w:rPr>
            </w:pPr>
            <w:r>
              <w:rPr>
                <w:bCs/>
                <w:color w:val="000000"/>
                <w:sz w:val="21"/>
                <w:szCs w:val="21"/>
              </w:rPr>
              <w:t>等效连续噪声级（Leq）</w:t>
            </w:r>
          </w:p>
        </w:tc>
        <w:tc>
          <w:tcPr>
            <w:tcW w:w="2838" w:type="dxa"/>
            <w:vMerge w:val="restart"/>
            <w:vAlign w:val="center"/>
          </w:tcPr>
          <w:p>
            <w:pPr>
              <w:widowControl/>
              <w:spacing w:line="240" w:lineRule="auto"/>
              <w:ind w:firstLine="0" w:firstLineChars="0"/>
              <w:jc w:val="center"/>
              <w:rPr>
                <w:bCs/>
                <w:color w:val="000000"/>
                <w:sz w:val="21"/>
                <w:szCs w:val="21"/>
              </w:rPr>
            </w:pPr>
            <w:r>
              <w:rPr>
                <w:bCs/>
                <w:sz w:val="21"/>
                <w:szCs w:val="21"/>
              </w:rPr>
              <w:t>昼</w:t>
            </w:r>
            <w:r>
              <w:rPr>
                <w:rFonts w:hint="eastAsia"/>
                <w:bCs/>
                <w:sz w:val="21"/>
                <w:szCs w:val="21"/>
              </w:rPr>
              <w:t>间</w:t>
            </w:r>
            <w:r>
              <w:rPr>
                <w:bCs/>
                <w:sz w:val="21"/>
                <w:szCs w:val="21"/>
              </w:rPr>
              <w:t>监</w:t>
            </w:r>
            <w:r>
              <w:rPr>
                <w:bCs/>
                <w:color w:val="000000"/>
                <w:sz w:val="21"/>
                <w:szCs w:val="21"/>
              </w:rPr>
              <w:t>测1次，连续2天</w:t>
            </w:r>
          </w:p>
        </w:tc>
        <w:tc>
          <w:tcPr>
            <w:tcW w:w="1982" w:type="dxa"/>
            <w:vMerge w:val="restart"/>
            <w:vAlign w:val="center"/>
          </w:tcPr>
          <w:p>
            <w:pPr>
              <w:widowControl/>
              <w:spacing w:line="240" w:lineRule="auto"/>
              <w:ind w:firstLine="0" w:firstLineChars="0"/>
              <w:jc w:val="center"/>
              <w:rPr>
                <w:bCs/>
                <w:sz w:val="21"/>
                <w:szCs w:val="21"/>
              </w:rPr>
            </w:pPr>
            <w:r>
              <w:rPr>
                <w:rFonts w:hint="eastAsia"/>
                <w:bCs/>
                <w:sz w:val="21"/>
                <w:szCs w:val="21"/>
              </w:rPr>
              <w:t>西厂界与其他企业（停产状态）共用。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Align w:val="center"/>
          </w:tcPr>
          <w:p>
            <w:pPr>
              <w:widowControl/>
              <w:spacing w:line="240" w:lineRule="auto"/>
              <w:ind w:firstLine="0" w:firstLineChars="0"/>
              <w:jc w:val="center"/>
              <w:rPr>
                <w:bCs/>
                <w:color w:val="000000"/>
                <w:sz w:val="21"/>
                <w:szCs w:val="21"/>
              </w:rPr>
            </w:pPr>
            <w:r>
              <w:rPr>
                <w:bCs/>
                <w:color w:val="000000"/>
                <w:sz w:val="21"/>
                <w:szCs w:val="21"/>
              </w:rPr>
              <w:t>南厂界</w:t>
            </w:r>
          </w:p>
        </w:tc>
        <w:tc>
          <w:tcPr>
            <w:tcW w:w="2437" w:type="dxa"/>
            <w:vMerge w:val="continue"/>
            <w:vAlign w:val="center"/>
          </w:tcPr>
          <w:p>
            <w:pPr>
              <w:pStyle w:val="44"/>
              <w:rPr>
                <w:color w:val="FF0000"/>
                <w:highlight w:val="red"/>
              </w:rPr>
            </w:pPr>
          </w:p>
        </w:tc>
        <w:tc>
          <w:tcPr>
            <w:tcW w:w="2838" w:type="dxa"/>
            <w:vMerge w:val="continue"/>
            <w:vAlign w:val="center"/>
          </w:tcPr>
          <w:p>
            <w:pPr>
              <w:pStyle w:val="44"/>
              <w:rPr>
                <w:color w:val="FF0000"/>
                <w:highlight w:val="red"/>
              </w:rPr>
            </w:pPr>
          </w:p>
        </w:tc>
        <w:tc>
          <w:tcPr>
            <w:tcW w:w="1982" w:type="dxa"/>
            <w:vMerge w:val="continue"/>
            <w:vAlign w:val="center"/>
          </w:tcPr>
          <w:p>
            <w:pPr>
              <w:pStyle w:val="44"/>
              <w:rPr>
                <w:color w:val="FF0000"/>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Align w:val="center"/>
          </w:tcPr>
          <w:p>
            <w:pPr>
              <w:widowControl/>
              <w:spacing w:line="240" w:lineRule="auto"/>
              <w:ind w:firstLine="0" w:firstLineChars="0"/>
              <w:jc w:val="center"/>
              <w:rPr>
                <w:bCs/>
                <w:color w:val="000000"/>
                <w:sz w:val="21"/>
                <w:szCs w:val="21"/>
              </w:rPr>
            </w:pPr>
            <w:r>
              <w:rPr>
                <w:bCs/>
                <w:color w:val="000000"/>
                <w:sz w:val="21"/>
                <w:szCs w:val="21"/>
              </w:rPr>
              <w:t>西厂界</w:t>
            </w:r>
          </w:p>
        </w:tc>
        <w:tc>
          <w:tcPr>
            <w:tcW w:w="2437" w:type="dxa"/>
            <w:vMerge w:val="continue"/>
            <w:vAlign w:val="center"/>
          </w:tcPr>
          <w:p>
            <w:pPr>
              <w:pStyle w:val="44"/>
              <w:rPr>
                <w:color w:val="FF0000"/>
              </w:rPr>
            </w:pPr>
          </w:p>
        </w:tc>
        <w:tc>
          <w:tcPr>
            <w:tcW w:w="2838" w:type="dxa"/>
            <w:vMerge w:val="continue"/>
            <w:vAlign w:val="center"/>
          </w:tcPr>
          <w:p>
            <w:pPr>
              <w:pStyle w:val="44"/>
              <w:rPr>
                <w:color w:val="FF0000"/>
              </w:rPr>
            </w:pPr>
          </w:p>
        </w:tc>
        <w:tc>
          <w:tcPr>
            <w:tcW w:w="1982" w:type="dxa"/>
            <w:vMerge w:val="continue"/>
            <w:vAlign w:val="center"/>
          </w:tcPr>
          <w:p>
            <w:pPr>
              <w:pStyle w:val="44"/>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Align w:val="center"/>
          </w:tcPr>
          <w:p>
            <w:pPr>
              <w:widowControl/>
              <w:spacing w:line="240" w:lineRule="auto"/>
              <w:ind w:firstLine="0" w:firstLineChars="0"/>
              <w:jc w:val="center"/>
              <w:rPr>
                <w:bCs/>
                <w:color w:val="000000"/>
                <w:sz w:val="21"/>
                <w:szCs w:val="21"/>
              </w:rPr>
            </w:pPr>
            <w:r>
              <w:rPr>
                <w:bCs/>
                <w:color w:val="000000"/>
                <w:sz w:val="21"/>
                <w:szCs w:val="21"/>
              </w:rPr>
              <w:t>北厂界</w:t>
            </w:r>
          </w:p>
        </w:tc>
        <w:tc>
          <w:tcPr>
            <w:tcW w:w="2437" w:type="dxa"/>
            <w:vMerge w:val="continue"/>
            <w:vAlign w:val="center"/>
          </w:tcPr>
          <w:p>
            <w:pPr>
              <w:pStyle w:val="44"/>
              <w:rPr>
                <w:color w:val="FF0000"/>
              </w:rPr>
            </w:pPr>
          </w:p>
        </w:tc>
        <w:tc>
          <w:tcPr>
            <w:tcW w:w="2838" w:type="dxa"/>
            <w:vMerge w:val="continue"/>
            <w:vAlign w:val="center"/>
          </w:tcPr>
          <w:p>
            <w:pPr>
              <w:pStyle w:val="44"/>
              <w:rPr>
                <w:color w:val="FF0000"/>
              </w:rPr>
            </w:pPr>
          </w:p>
        </w:tc>
        <w:tc>
          <w:tcPr>
            <w:tcW w:w="1982" w:type="dxa"/>
            <w:vMerge w:val="continue"/>
            <w:vAlign w:val="center"/>
          </w:tcPr>
          <w:p>
            <w:pPr>
              <w:pStyle w:val="44"/>
              <w:rPr>
                <w:color w:val="FF0000"/>
              </w:rPr>
            </w:pPr>
          </w:p>
        </w:tc>
      </w:tr>
    </w:tbl>
    <w:p>
      <w:pPr>
        <w:pStyle w:val="4"/>
      </w:pPr>
      <w:bookmarkStart w:id="871" w:name="_Toc23780"/>
      <w:bookmarkStart w:id="872" w:name="_Toc13350"/>
      <w:bookmarkStart w:id="873" w:name="_Toc10652_WPSOffice_Level2"/>
      <w:bookmarkStart w:id="874" w:name="_Toc8491"/>
      <w:bookmarkStart w:id="875" w:name="_Toc9843"/>
      <w:bookmarkStart w:id="876" w:name="_Toc25716"/>
      <w:bookmarkStart w:id="877" w:name="_Toc15313_WPSOffice_Level2"/>
      <w:bookmarkStart w:id="878" w:name="_Toc25583"/>
      <w:bookmarkStart w:id="879" w:name="_Toc3754_WPSOffice_Level2"/>
      <w:bookmarkStart w:id="880" w:name="_Toc8587_WPSOffice_Level2"/>
      <w:r>
        <w:t>7.2环境质量监测</w:t>
      </w:r>
      <w:bookmarkEnd w:id="871"/>
      <w:bookmarkEnd w:id="872"/>
      <w:bookmarkEnd w:id="873"/>
      <w:bookmarkEnd w:id="874"/>
      <w:bookmarkEnd w:id="875"/>
      <w:bookmarkEnd w:id="876"/>
      <w:bookmarkEnd w:id="877"/>
      <w:bookmarkEnd w:id="878"/>
      <w:bookmarkEnd w:id="879"/>
      <w:bookmarkEnd w:id="880"/>
    </w:p>
    <w:p>
      <w:pPr>
        <w:pStyle w:val="5"/>
      </w:pPr>
      <w:r>
        <w:t>7.2.1环境空气</w:t>
      </w:r>
    </w:p>
    <w:p>
      <w:pPr>
        <w:ind w:firstLine="480"/>
      </w:pPr>
      <w:r>
        <w:t>环境空气检测点位、因子及频次见表7.2-1。</w:t>
      </w:r>
    </w:p>
    <w:p>
      <w:pPr>
        <w:pStyle w:val="48"/>
      </w:pPr>
      <w:r>
        <w:t>表7.2-1 环境空气检测点位、因子及频次</w:t>
      </w:r>
    </w:p>
    <w:tbl>
      <w:tblPr>
        <w:tblStyle w:val="34"/>
        <w:tblW w:w="49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4"/>
        <w:gridCol w:w="3204"/>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pct"/>
            <w:vAlign w:val="center"/>
          </w:tcPr>
          <w:p>
            <w:pPr>
              <w:widowControl/>
              <w:spacing w:line="240" w:lineRule="auto"/>
              <w:ind w:firstLine="0" w:firstLineChars="0"/>
              <w:jc w:val="center"/>
              <w:rPr>
                <w:bCs/>
                <w:color w:val="000000"/>
                <w:sz w:val="21"/>
                <w:szCs w:val="21"/>
              </w:rPr>
            </w:pPr>
            <w:r>
              <w:rPr>
                <w:bCs/>
                <w:color w:val="000000"/>
                <w:sz w:val="21"/>
                <w:szCs w:val="21"/>
              </w:rPr>
              <w:t>监测点位</w:t>
            </w:r>
          </w:p>
        </w:tc>
        <w:tc>
          <w:tcPr>
            <w:tcW w:w="1695" w:type="pct"/>
            <w:vAlign w:val="center"/>
          </w:tcPr>
          <w:p>
            <w:pPr>
              <w:widowControl/>
              <w:spacing w:line="240" w:lineRule="auto"/>
              <w:ind w:firstLine="0" w:firstLineChars="0"/>
              <w:jc w:val="center"/>
              <w:rPr>
                <w:bCs/>
                <w:color w:val="000000"/>
                <w:sz w:val="21"/>
                <w:szCs w:val="21"/>
              </w:rPr>
            </w:pPr>
            <w:r>
              <w:rPr>
                <w:bCs/>
                <w:color w:val="000000"/>
                <w:sz w:val="21"/>
                <w:szCs w:val="21"/>
              </w:rPr>
              <w:t>监测因子</w:t>
            </w:r>
          </w:p>
        </w:tc>
        <w:tc>
          <w:tcPr>
            <w:tcW w:w="1608" w:type="pct"/>
            <w:vAlign w:val="center"/>
          </w:tcPr>
          <w:p>
            <w:pPr>
              <w:widowControl/>
              <w:spacing w:line="240" w:lineRule="auto"/>
              <w:ind w:firstLine="0" w:firstLineChars="0"/>
              <w:jc w:val="center"/>
              <w:rPr>
                <w:bCs/>
                <w:color w:val="000000"/>
                <w:sz w:val="21"/>
                <w:szCs w:val="21"/>
              </w:rPr>
            </w:pPr>
            <w:r>
              <w:rPr>
                <w:bCs/>
                <w:color w:val="00000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pct"/>
            <w:vMerge w:val="restart"/>
            <w:vAlign w:val="center"/>
          </w:tcPr>
          <w:p>
            <w:pPr>
              <w:widowControl/>
              <w:spacing w:line="240" w:lineRule="auto"/>
              <w:ind w:firstLine="0" w:firstLineChars="0"/>
              <w:jc w:val="center"/>
              <w:rPr>
                <w:bCs/>
                <w:color w:val="000000"/>
                <w:sz w:val="21"/>
                <w:szCs w:val="21"/>
              </w:rPr>
            </w:pPr>
            <w:r>
              <w:rPr>
                <w:rFonts w:hint="eastAsia"/>
                <w:bCs/>
                <w:color w:val="000000"/>
                <w:sz w:val="21"/>
                <w:szCs w:val="21"/>
              </w:rPr>
              <w:t>大埝村</w:t>
            </w:r>
            <w:r>
              <w:rPr>
                <w:bCs/>
                <w:color w:val="000000"/>
                <w:sz w:val="21"/>
                <w:szCs w:val="21"/>
              </w:rPr>
              <w:t>（敏感保护目标）</w:t>
            </w:r>
          </w:p>
        </w:tc>
        <w:tc>
          <w:tcPr>
            <w:tcW w:w="1695" w:type="pct"/>
          </w:tcPr>
          <w:p>
            <w:pPr>
              <w:spacing w:line="240" w:lineRule="auto"/>
              <w:ind w:firstLine="0" w:firstLineChars="0"/>
              <w:jc w:val="center"/>
              <w:rPr>
                <w:bCs/>
                <w:color w:val="000000"/>
                <w:sz w:val="21"/>
                <w:szCs w:val="21"/>
              </w:rPr>
            </w:pPr>
            <w:r>
              <w:rPr>
                <w:bCs/>
                <w:color w:val="000000"/>
                <w:sz w:val="21"/>
                <w:szCs w:val="21"/>
              </w:rPr>
              <w:t>TSP</w:t>
            </w:r>
          </w:p>
        </w:tc>
        <w:tc>
          <w:tcPr>
            <w:tcW w:w="1608" w:type="pct"/>
            <w:vAlign w:val="center"/>
          </w:tcPr>
          <w:p>
            <w:pPr>
              <w:spacing w:line="240" w:lineRule="auto"/>
              <w:ind w:firstLine="0" w:firstLineChars="0"/>
              <w:jc w:val="center"/>
              <w:rPr>
                <w:bCs/>
                <w:color w:val="000000"/>
                <w:sz w:val="21"/>
                <w:szCs w:val="21"/>
              </w:rPr>
            </w:pPr>
            <w:r>
              <w:rPr>
                <w:bCs/>
                <w:color w:val="000000"/>
                <w:sz w:val="21"/>
                <w:szCs w:val="21"/>
              </w:rPr>
              <w:t>监测2天，日均值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pct"/>
            <w:vMerge w:val="continue"/>
            <w:vAlign w:val="center"/>
          </w:tcPr>
          <w:p>
            <w:pPr>
              <w:widowControl/>
              <w:spacing w:line="240" w:lineRule="auto"/>
              <w:ind w:firstLine="0" w:firstLineChars="0"/>
              <w:jc w:val="center"/>
              <w:rPr>
                <w:bCs/>
                <w:color w:val="000000"/>
                <w:sz w:val="21"/>
                <w:szCs w:val="21"/>
              </w:rPr>
            </w:pPr>
          </w:p>
        </w:tc>
        <w:tc>
          <w:tcPr>
            <w:tcW w:w="1695" w:type="pct"/>
          </w:tcPr>
          <w:p>
            <w:pPr>
              <w:spacing w:line="240" w:lineRule="auto"/>
              <w:ind w:firstLine="0" w:firstLineChars="0"/>
              <w:jc w:val="center"/>
              <w:rPr>
                <w:bCs/>
                <w:color w:val="000000"/>
                <w:sz w:val="21"/>
                <w:szCs w:val="21"/>
              </w:rPr>
            </w:pPr>
            <w:r>
              <w:rPr>
                <w:bCs/>
                <w:color w:val="000000"/>
                <w:sz w:val="21"/>
                <w:szCs w:val="21"/>
              </w:rPr>
              <w:t>VOC</w:t>
            </w:r>
            <w:r>
              <w:rPr>
                <w:bCs/>
                <w:color w:val="000000"/>
                <w:sz w:val="21"/>
                <w:szCs w:val="21"/>
                <w:vertAlign w:val="subscript"/>
              </w:rPr>
              <w:t>S</w:t>
            </w:r>
          </w:p>
        </w:tc>
        <w:tc>
          <w:tcPr>
            <w:tcW w:w="1608" w:type="pct"/>
            <w:vAlign w:val="center"/>
          </w:tcPr>
          <w:p>
            <w:pPr>
              <w:spacing w:line="240" w:lineRule="auto"/>
              <w:ind w:firstLine="0" w:firstLineChars="0"/>
              <w:jc w:val="center"/>
              <w:rPr>
                <w:bCs/>
                <w:color w:val="000000"/>
                <w:sz w:val="21"/>
                <w:szCs w:val="21"/>
              </w:rPr>
            </w:pPr>
            <w:r>
              <w:rPr>
                <w:bCs/>
                <w:color w:val="000000"/>
                <w:sz w:val="21"/>
                <w:szCs w:val="21"/>
              </w:rPr>
              <w:t>监测2天，检测4次/天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pPr>
              <w:spacing w:line="240" w:lineRule="auto"/>
              <w:ind w:firstLine="0" w:firstLineChars="0"/>
              <w:jc w:val="left"/>
              <w:rPr>
                <w:bCs/>
                <w:color w:val="000000"/>
                <w:sz w:val="21"/>
                <w:szCs w:val="21"/>
              </w:rPr>
            </w:pPr>
            <w:r>
              <w:rPr>
                <w:bCs/>
                <w:color w:val="000000"/>
                <w:sz w:val="21"/>
                <w:szCs w:val="21"/>
              </w:rPr>
              <w:t>备注：同步记录气象条件（气温、气压、风速、风向等）</w:t>
            </w:r>
          </w:p>
        </w:tc>
      </w:tr>
    </w:tbl>
    <w:p>
      <w:pPr>
        <w:ind w:firstLine="480"/>
        <w:rPr>
          <w:color w:val="FF0000"/>
        </w:rPr>
      </w:pPr>
    </w:p>
    <w:p>
      <w:pPr>
        <w:ind w:firstLine="482"/>
        <w:rPr>
          <w:b/>
          <w:bCs/>
          <w:color w:val="FF0000"/>
          <w:highlight w:val="red"/>
        </w:rPr>
        <w:sectPr>
          <w:footerReference r:id="rId10" w:type="default"/>
          <w:pgSz w:w="11905" w:h="16838"/>
          <w:pgMar w:top="1247" w:right="1247" w:bottom="1247" w:left="1247" w:header="709" w:footer="680" w:gutter="0"/>
          <w:cols w:space="720" w:num="1"/>
          <w:docGrid w:type="lines" w:linePitch="326" w:charSpace="0"/>
        </w:sectPr>
      </w:pPr>
    </w:p>
    <w:p>
      <w:pPr>
        <w:pStyle w:val="3"/>
      </w:pPr>
      <w:bookmarkStart w:id="881" w:name="_Toc19409"/>
      <w:bookmarkStart w:id="882" w:name="_Toc11520"/>
      <w:bookmarkStart w:id="883" w:name="_Toc877"/>
      <w:bookmarkStart w:id="884" w:name="_Toc15777_WPSOffice_Level1"/>
      <w:bookmarkStart w:id="885" w:name="_Toc4351"/>
      <w:bookmarkStart w:id="886" w:name="_Toc12814"/>
      <w:bookmarkStart w:id="887" w:name="_Toc23846"/>
      <w:bookmarkStart w:id="888" w:name="_Toc4006"/>
      <w:bookmarkStart w:id="889" w:name="_Toc13397"/>
      <w:bookmarkStart w:id="890" w:name="_Toc16978"/>
      <w:bookmarkStart w:id="891" w:name="_Toc8379"/>
      <w:bookmarkStart w:id="892" w:name="_Toc23732"/>
      <w:bookmarkStart w:id="893" w:name="_Toc19414"/>
      <w:bookmarkStart w:id="894" w:name="_Toc13805"/>
      <w:bookmarkStart w:id="895" w:name="_Toc25827_WPSOffice_Level1"/>
      <w:bookmarkStart w:id="896" w:name="_Toc27702_WPSOffice_Level1"/>
      <w:bookmarkStart w:id="897" w:name="_Toc5690"/>
      <w:bookmarkStart w:id="898" w:name="_Toc5643"/>
      <w:bookmarkStart w:id="899" w:name="_Toc25131_WPSOffice_Level1"/>
      <w:bookmarkStart w:id="900" w:name="_Toc4499"/>
      <w:bookmarkStart w:id="901" w:name="_Toc5834"/>
      <w:bookmarkStart w:id="902" w:name="_Toc12079_WPSOffice_Level1"/>
      <w:bookmarkStart w:id="903" w:name="_Toc31571"/>
      <w:bookmarkStart w:id="904" w:name="_Toc13980"/>
      <w:bookmarkStart w:id="905" w:name="_Toc21552"/>
      <w:bookmarkStart w:id="906" w:name="_Toc12424"/>
      <w:bookmarkStart w:id="907" w:name="_Toc508787724"/>
      <w:r>
        <w:t>第八章 质量保证及质量控制</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pStyle w:val="4"/>
      </w:pPr>
      <w:bookmarkStart w:id="908" w:name="_Toc16756"/>
      <w:bookmarkStart w:id="909" w:name="_Toc17664_WPSOffice_Level2"/>
      <w:bookmarkStart w:id="910" w:name="_Toc31747"/>
      <w:bookmarkStart w:id="911" w:name="_Toc11533"/>
      <w:bookmarkStart w:id="912" w:name="_Toc32077"/>
      <w:bookmarkStart w:id="913" w:name="_Toc12171"/>
      <w:bookmarkStart w:id="914" w:name="_Toc4179_WPSOffice_Level2"/>
      <w:bookmarkStart w:id="915" w:name="_Toc11636"/>
      <w:bookmarkStart w:id="916" w:name="_Toc27056"/>
      <w:bookmarkStart w:id="917" w:name="_Toc2572_WPSOffice_Level2"/>
      <w:bookmarkStart w:id="918" w:name="_Toc32252"/>
      <w:bookmarkStart w:id="919" w:name="_Toc24095"/>
      <w:bookmarkStart w:id="920" w:name="_Toc12514_WPSOffice_Level2"/>
      <w:bookmarkStart w:id="921" w:name="_Toc28523"/>
      <w:bookmarkStart w:id="922" w:name="_Toc23451"/>
      <w:bookmarkStart w:id="923" w:name="_Toc24895"/>
      <w:bookmarkStart w:id="924" w:name="_Toc4064_WPSOffice_Level2"/>
      <w:bookmarkStart w:id="925" w:name="_Toc10063"/>
      <w:bookmarkStart w:id="926" w:name="_Toc19604"/>
      <w:bookmarkStart w:id="927" w:name="_Toc9466"/>
      <w:bookmarkStart w:id="928" w:name="_Toc24786"/>
      <w:bookmarkStart w:id="929" w:name="_Toc20434"/>
      <w:bookmarkStart w:id="930" w:name="_Toc13707"/>
      <w:r>
        <w:t>8.1监测分析方法</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ind w:firstLine="480"/>
      </w:pPr>
      <w:r>
        <w:t>各项监测因子的监测分析方法见表8.1-1。</w:t>
      </w:r>
    </w:p>
    <w:p>
      <w:pPr>
        <w:pStyle w:val="48"/>
      </w:pPr>
      <w:bookmarkStart w:id="931" w:name="_Toc20871_WPSOffice_Level3"/>
      <w:bookmarkStart w:id="932" w:name="_Toc16396_WPSOffice_Level3"/>
      <w:r>
        <w:t>表8.1-1 监测分析方法及依据一览表</w:t>
      </w:r>
      <w:bookmarkEnd w:id="931"/>
      <w:bookmarkEnd w:id="932"/>
    </w:p>
    <w:tbl>
      <w:tblPr>
        <w:tblStyle w:val="34"/>
        <w:tblW w:w="9246" w:type="dxa"/>
        <w:tblInd w:w="93" w:type="dxa"/>
        <w:tblLayout w:type="autofit"/>
        <w:tblCellMar>
          <w:top w:w="0" w:type="dxa"/>
          <w:left w:w="108" w:type="dxa"/>
          <w:bottom w:w="0" w:type="dxa"/>
          <w:right w:w="108" w:type="dxa"/>
        </w:tblCellMar>
      </w:tblPr>
      <w:tblGrid>
        <w:gridCol w:w="1196"/>
        <w:gridCol w:w="1463"/>
        <w:gridCol w:w="3262"/>
        <w:gridCol w:w="1725"/>
        <w:gridCol w:w="1600"/>
      </w:tblGrid>
      <w:tr>
        <w:tblPrEx>
          <w:tblCellMar>
            <w:top w:w="0" w:type="dxa"/>
            <w:left w:w="108" w:type="dxa"/>
            <w:bottom w:w="0" w:type="dxa"/>
            <w:right w:w="108" w:type="dxa"/>
          </w:tblCellMar>
        </w:tblPrEx>
        <w:trPr>
          <w:trHeight w:val="458"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样品类别</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检测项目</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检测方法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方法来源</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检出限</w:t>
            </w:r>
          </w:p>
        </w:tc>
      </w:tr>
      <w:tr>
        <w:tblPrEx>
          <w:tblCellMar>
            <w:top w:w="0" w:type="dxa"/>
            <w:left w:w="108" w:type="dxa"/>
            <w:bottom w:w="0" w:type="dxa"/>
            <w:right w:w="108" w:type="dxa"/>
          </w:tblCellMar>
        </w:tblPrEx>
        <w:trPr>
          <w:trHeight w:val="458" w:hRule="atLeast"/>
        </w:trPr>
        <w:tc>
          <w:tcPr>
            <w:tcW w:w="1196"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废水</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kern w:val="0"/>
                <w:sz w:val="18"/>
                <w:szCs w:val="18"/>
              </w:rPr>
              <w:t>色度</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水质 色度的测定 稀释倍数法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1182-2021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 xml:space="preserve">2 </w:t>
            </w:r>
            <w:r>
              <w:rPr>
                <w:rFonts w:hint="eastAsia"/>
                <w:bCs/>
                <w:color w:val="000000"/>
                <w:sz w:val="18"/>
                <w:szCs w:val="18"/>
              </w:rPr>
              <w:t>倍</w:t>
            </w:r>
          </w:p>
        </w:tc>
      </w:tr>
      <w:tr>
        <w:tblPrEx>
          <w:tblCellMar>
            <w:top w:w="0" w:type="dxa"/>
            <w:left w:w="108" w:type="dxa"/>
            <w:bottom w:w="0" w:type="dxa"/>
            <w:right w:w="108" w:type="dxa"/>
          </w:tblCellMar>
        </w:tblPrEx>
        <w:trPr>
          <w:trHeight w:val="458" w:hRule="atLeast"/>
        </w:trPr>
        <w:tc>
          <w:tcPr>
            <w:tcW w:w="1196"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2"/>
              <w:rPr>
                <w:sz w:val="18"/>
                <w:szCs w:val="18"/>
              </w:rPr>
            </w:pPr>
            <w:r>
              <w:rPr>
                <w:sz w:val="18"/>
                <w:szCs w:val="18"/>
              </w:rPr>
              <w:t>pH值</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 xml:space="preserve">水质 </w:t>
            </w:r>
            <w:r>
              <w:rPr>
                <w:bCs/>
                <w:color w:val="000000"/>
                <w:sz w:val="18"/>
                <w:szCs w:val="18"/>
              </w:rPr>
              <w:t xml:space="preserve">pH </w:t>
            </w:r>
            <w:r>
              <w:rPr>
                <w:rFonts w:hint="eastAsia"/>
                <w:bCs/>
                <w:color w:val="000000"/>
                <w:sz w:val="18"/>
                <w:szCs w:val="18"/>
              </w:rPr>
              <w:t>值的测定 电极法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1147-2020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/（无量纲）</w:t>
            </w:r>
          </w:p>
        </w:tc>
      </w:tr>
      <w:tr>
        <w:tblPrEx>
          <w:tblCellMar>
            <w:top w:w="0" w:type="dxa"/>
            <w:left w:w="108" w:type="dxa"/>
            <w:bottom w:w="0" w:type="dxa"/>
            <w:right w:w="108" w:type="dxa"/>
          </w:tblCellMar>
        </w:tblPrEx>
        <w:trPr>
          <w:trHeight w:val="458" w:hRule="atLeast"/>
        </w:trPr>
        <w:tc>
          <w:tcPr>
            <w:tcW w:w="1196"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2"/>
              <w:rPr>
                <w:sz w:val="18"/>
                <w:szCs w:val="18"/>
              </w:rPr>
            </w:pPr>
            <w:r>
              <w:rPr>
                <w:sz w:val="18"/>
                <w:szCs w:val="18"/>
              </w:rPr>
              <w:t>五日生化需氧量</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水质 五日生化需氧量（</w:t>
            </w:r>
            <w:r>
              <w:rPr>
                <w:bCs/>
                <w:color w:val="000000"/>
                <w:sz w:val="18"/>
                <w:szCs w:val="18"/>
              </w:rPr>
              <w:t xml:space="preserve">BOD₅ </w:t>
            </w:r>
            <w:r>
              <w:rPr>
                <w:rFonts w:hint="eastAsia"/>
                <w:bCs/>
                <w:color w:val="000000"/>
                <w:sz w:val="18"/>
                <w:szCs w:val="18"/>
              </w:rPr>
              <w:t>）的测定稀释与接种法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505-2009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0.5 mg/L</w:t>
            </w:r>
          </w:p>
        </w:tc>
      </w:tr>
      <w:tr>
        <w:tblPrEx>
          <w:tblCellMar>
            <w:top w:w="0" w:type="dxa"/>
            <w:left w:w="108" w:type="dxa"/>
            <w:bottom w:w="0" w:type="dxa"/>
            <w:right w:w="108" w:type="dxa"/>
          </w:tblCellMar>
        </w:tblPrEx>
        <w:trPr>
          <w:trHeight w:val="458" w:hRule="atLeast"/>
        </w:trPr>
        <w:tc>
          <w:tcPr>
            <w:tcW w:w="1196"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2"/>
              <w:rPr>
                <w:sz w:val="18"/>
                <w:szCs w:val="18"/>
              </w:rPr>
            </w:pPr>
            <w:r>
              <w:rPr>
                <w:sz w:val="18"/>
                <w:szCs w:val="18"/>
              </w:rPr>
              <w:t>溶解性总固体</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城镇污水水质标准检验方法（</w:t>
            </w:r>
            <w:r>
              <w:rPr>
                <w:bCs/>
                <w:color w:val="000000"/>
                <w:sz w:val="18"/>
                <w:szCs w:val="18"/>
              </w:rPr>
              <w:t xml:space="preserve">9 </w:t>
            </w:r>
            <w:r>
              <w:rPr>
                <w:rFonts w:hint="eastAsia"/>
                <w:bCs/>
                <w:color w:val="000000"/>
                <w:sz w:val="18"/>
                <w:szCs w:val="18"/>
              </w:rPr>
              <w:t>溶解性总固体的测定 重量法）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CJ/T 51-2018</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4 mg/L</w:t>
            </w:r>
          </w:p>
        </w:tc>
      </w:tr>
      <w:tr>
        <w:tblPrEx>
          <w:tblCellMar>
            <w:top w:w="0" w:type="dxa"/>
            <w:left w:w="108" w:type="dxa"/>
            <w:bottom w:w="0" w:type="dxa"/>
            <w:right w:w="108" w:type="dxa"/>
          </w:tblCellMar>
        </w:tblPrEx>
        <w:trPr>
          <w:trHeight w:val="458" w:hRule="atLeast"/>
        </w:trPr>
        <w:tc>
          <w:tcPr>
            <w:tcW w:w="1196"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kern w:val="0"/>
                <w:sz w:val="18"/>
                <w:szCs w:val="18"/>
              </w:rPr>
              <w:t>阴离子表面活性剂</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水质 阴离子表面活性剂的测定 亚甲蓝 分光光度法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GB/T 7494-1987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0.05 mg/L</w:t>
            </w:r>
          </w:p>
        </w:tc>
      </w:tr>
      <w:tr>
        <w:tblPrEx>
          <w:tblCellMar>
            <w:top w:w="0" w:type="dxa"/>
            <w:left w:w="108" w:type="dxa"/>
            <w:bottom w:w="0" w:type="dxa"/>
            <w:right w:w="108" w:type="dxa"/>
          </w:tblCellMar>
        </w:tblPrEx>
        <w:trPr>
          <w:trHeight w:val="458" w:hRule="atLeast"/>
        </w:trPr>
        <w:tc>
          <w:tcPr>
            <w:tcW w:w="1196"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kern w:val="0"/>
                <w:sz w:val="18"/>
                <w:szCs w:val="18"/>
              </w:rPr>
              <w:t>粪大肠菌群</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rFonts w:hint="eastAsia"/>
                <w:bCs/>
                <w:color w:val="000000"/>
                <w:sz w:val="18"/>
                <w:szCs w:val="18"/>
              </w:rPr>
              <w:t>水质 粪大肠菌群的测定 多管发酵法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347.2-2018</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20 MPN/L</w:t>
            </w:r>
          </w:p>
        </w:tc>
      </w:tr>
      <w:tr>
        <w:tblPrEx>
          <w:tblCellMar>
            <w:top w:w="0" w:type="dxa"/>
            <w:left w:w="108" w:type="dxa"/>
            <w:bottom w:w="0" w:type="dxa"/>
            <w:right w:w="108" w:type="dxa"/>
          </w:tblCellMar>
        </w:tblPrEx>
        <w:trPr>
          <w:trHeight w:val="570"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有组织废气</w:t>
            </w: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颗粒物</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固定污染源废气 低浓度颗粒物的测定 重量法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836-2017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1.0 mg/m³</w:t>
            </w:r>
          </w:p>
        </w:tc>
      </w:tr>
      <w:tr>
        <w:tblPrEx>
          <w:tblCellMar>
            <w:top w:w="0" w:type="dxa"/>
            <w:left w:w="108" w:type="dxa"/>
            <w:bottom w:w="0" w:type="dxa"/>
            <w:right w:w="108" w:type="dxa"/>
          </w:tblCellMar>
        </w:tblPrEx>
        <w:trPr>
          <w:trHeight w:val="662"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固定污染源排气中颗粒物测定与气态污染物采样方法及修改单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GB/T 16157-1996</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20 mg/m³</w:t>
            </w:r>
          </w:p>
        </w:tc>
      </w:tr>
      <w:tr>
        <w:tblPrEx>
          <w:tblCellMar>
            <w:top w:w="0" w:type="dxa"/>
            <w:left w:w="108" w:type="dxa"/>
            <w:bottom w:w="0" w:type="dxa"/>
            <w:right w:w="108" w:type="dxa"/>
          </w:tblCellMar>
        </w:tblPrEx>
        <w:trPr>
          <w:trHeight w:val="662"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VOCs（以非甲烷总烃计）</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固定污染源废气 总烃、甲烷和非甲烷总烃的测定 气相色谱法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38-2017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0.07 mg/m³</w:t>
            </w:r>
          </w:p>
        </w:tc>
      </w:tr>
      <w:tr>
        <w:tblPrEx>
          <w:tblCellMar>
            <w:top w:w="0" w:type="dxa"/>
            <w:left w:w="108" w:type="dxa"/>
            <w:bottom w:w="0" w:type="dxa"/>
            <w:right w:w="108" w:type="dxa"/>
          </w:tblCellMar>
        </w:tblPrEx>
        <w:trPr>
          <w:trHeight w:val="464"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噪声</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噪声</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工业企业厂界环境噪声排放标准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GB 12348-2008</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w:t>
            </w:r>
          </w:p>
        </w:tc>
      </w:tr>
      <w:tr>
        <w:tblPrEx>
          <w:tblCellMar>
            <w:top w:w="0" w:type="dxa"/>
            <w:left w:w="108" w:type="dxa"/>
            <w:bottom w:w="0" w:type="dxa"/>
            <w:right w:w="108" w:type="dxa"/>
          </w:tblCellMar>
        </w:tblPrEx>
        <w:trPr>
          <w:trHeight w:val="662"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无组织废气</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颗粒物</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环境空气 总悬浮颗粒物的测定</w:t>
            </w:r>
            <w:r>
              <w:rPr>
                <w:bCs/>
                <w:color w:val="000000"/>
                <w:sz w:val="18"/>
                <w:szCs w:val="18"/>
              </w:rPr>
              <w:br w:type="textWrapping"/>
            </w:r>
            <w:r>
              <w:rPr>
                <w:bCs/>
                <w:color w:val="000000"/>
                <w:sz w:val="18"/>
                <w:szCs w:val="18"/>
              </w:rPr>
              <w:t>重量法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1263-2022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w:t>
            </w:r>
          </w:p>
        </w:tc>
      </w:tr>
      <w:tr>
        <w:tblPrEx>
          <w:tblCellMar>
            <w:top w:w="0" w:type="dxa"/>
            <w:left w:w="108" w:type="dxa"/>
            <w:bottom w:w="0" w:type="dxa"/>
            <w:right w:w="108" w:type="dxa"/>
          </w:tblCellMar>
        </w:tblPrEx>
        <w:trPr>
          <w:trHeight w:val="662"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VOCs（以非甲烷总烃计）</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环境空气 总烃、甲烷和非甲烷总烃的测定 直接进样-气相色谱法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HJ 604-2017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rPr>
            </w:pPr>
            <w:r>
              <w:rPr>
                <w:bCs/>
                <w:color w:val="000000"/>
                <w:sz w:val="18"/>
                <w:szCs w:val="18"/>
              </w:rPr>
              <w:t>0.07 mg/m³</w:t>
            </w:r>
          </w:p>
        </w:tc>
      </w:tr>
      <w:tr>
        <w:tblPrEx>
          <w:tblCellMar>
            <w:top w:w="0" w:type="dxa"/>
            <w:left w:w="108" w:type="dxa"/>
            <w:bottom w:w="0" w:type="dxa"/>
            <w:right w:w="108" w:type="dxa"/>
          </w:tblCellMar>
        </w:tblPrEx>
        <w:trPr>
          <w:trHeight w:val="662"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环境空气</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总悬浮颗粒物</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环境空气 总悬浮颗粒物的测定</w:t>
            </w:r>
            <w:r>
              <w:rPr>
                <w:bCs/>
                <w:color w:val="000000"/>
                <w:sz w:val="18"/>
                <w:szCs w:val="18"/>
                <w:highlight w:val="none"/>
              </w:rPr>
              <w:br w:type="textWrapping"/>
            </w:r>
            <w:r>
              <w:rPr>
                <w:bCs/>
                <w:color w:val="000000"/>
                <w:sz w:val="18"/>
                <w:szCs w:val="18"/>
                <w:highlight w:val="none"/>
              </w:rPr>
              <w:t>重量法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HJ 1263-2022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7 μg/m³</w:t>
            </w:r>
          </w:p>
        </w:tc>
      </w:tr>
      <w:tr>
        <w:tblPrEx>
          <w:tblCellMar>
            <w:top w:w="0" w:type="dxa"/>
            <w:left w:w="108" w:type="dxa"/>
            <w:bottom w:w="0" w:type="dxa"/>
            <w:right w:w="108" w:type="dxa"/>
          </w:tblCellMar>
        </w:tblPrEx>
        <w:trPr>
          <w:trHeight w:val="667"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VOCs（以非甲烷总烃计）</w:t>
            </w:r>
          </w:p>
        </w:tc>
        <w:tc>
          <w:tcPr>
            <w:tcW w:w="32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环境空气 总烃、甲烷和非甲烷总烃的测定 直接进样-气相色谱法</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HJ 604-2017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18"/>
                <w:szCs w:val="18"/>
                <w:highlight w:val="none"/>
              </w:rPr>
            </w:pPr>
            <w:r>
              <w:rPr>
                <w:bCs/>
                <w:color w:val="000000"/>
                <w:sz w:val="18"/>
                <w:szCs w:val="18"/>
                <w:highlight w:val="none"/>
              </w:rPr>
              <w:t>0.07 mg/m³</w:t>
            </w:r>
          </w:p>
        </w:tc>
      </w:tr>
    </w:tbl>
    <w:p>
      <w:pPr>
        <w:ind w:firstLine="480"/>
      </w:pPr>
    </w:p>
    <w:p>
      <w:pPr>
        <w:pStyle w:val="4"/>
        <w:sectPr>
          <w:pgSz w:w="11905" w:h="16838"/>
          <w:pgMar w:top="1247" w:right="1247" w:bottom="1247" w:left="1247" w:header="709" w:footer="680" w:gutter="0"/>
          <w:cols w:space="720" w:num="1"/>
          <w:docGrid w:type="lines" w:linePitch="326" w:charSpace="0"/>
        </w:sectPr>
      </w:pPr>
      <w:bookmarkStart w:id="933" w:name="_Toc28595_WPSOffice_Level2"/>
      <w:bookmarkStart w:id="934" w:name="_Toc4340"/>
      <w:bookmarkStart w:id="935" w:name="_Toc5202_WPSOffice_Level2"/>
      <w:bookmarkStart w:id="936" w:name="_Toc6925"/>
      <w:bookmarkStart w:id="937" w:name="_Toc31318"/>
      <w:bookmarkStart w:id="938" w:name="_Toc17"/>
      <w:bookmarkStart w:id="939" w:name="_Toc31290_WPSOffice_Level2"/>
      <w:bookmarkStart w:id="940" w:name="_Toc29658"/>
      <w:bookmarkStart w:id="941" w:name="_Toc30591"/>
      <w:bookmarkStart w:id="942" w:name="_Toc2357_WPSOffice_Level2"/>
      <w:bookmarkStart w:id="943" w:name="_Toc24660"/>
      <w:bookmarkStart w:id="944" w:name="_Toc21538"/>
      <w:bookmarkStart w:id="945" w:name="_Toc17014"/>
      <w:bookmarkStart w:id="946" w:name="_Toc21224"/>
      <w:bookmarkStart w:id="947" w:name="_Toc2995_WPSOffice_Level2"/>
      <w:bookmarkStart w:id="948" w:name="_Toc21128"/>
      <w:bookmarkStart w:id="949" w:name="_Toc3158"/>
      <w:bookmarkStart w:id="950" w:name="_Toc29704"/>
      <w:bookmarkStart w:id="951" w:name="_Toc31174"/>
      <w:bookmarkStart w:id="952" w:name="_Toc3187"/>
    </w:p>
    <w:p>
      <w:pPr>
        <w:pStyle w:val="4"/>
      </w:pPr>
      <w:bookmarkStart w:id="953" w:name="_Toc8644"/>
      <w:r>
        <w:t>8.2监测仪器</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pPr>
        <w:ind w:firstLine="480"/>
      </w:pPr>
      <w:r>
        <w:t>各项监测因子的监测仪器及型号见表8.2-1。</w:t>
      </w:r>
    </w:p>
    <w:p>
      <w:pPr>
        <w:pStyle w:val="48"/>
      </w:pPr>
      <w:bookmarkStart w:id="954" w:name="_Toc6505_WPSOffice_Level3"/>
      <w:bookmarkStart w:id="955" w:name="_Toc6658_WPSOffice_Level3"/>
      <w:r>
        <w:t>表8.2-1 监测仪器及型号一览表</w:t>
      </w:r>
      <w:bookmarkEnd w:id="954"/>
      <w:bookmarkEnd w:id="955"/>
    </w:p>
    <w:tbl>
      <w:tblPr>
        <w:tblStyle w:val="34"/>
        <w:tblW w:w="8712" w:type="dxa"/>
        <w:tblInd w:w="6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338"/>
        <w:gridCol w:w="2066"/>
        <w:gridCol w:w="2123"/>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shd w:val="clear" w:color="auto" w:fill="auto"/>
            <w:vAlign w:val="center"/>
          </w:tcPr>
          <w:p>
            <w:pPr>
              <w:widowControl/>
              <w:spacing w:line="240" w:lineRule="auto"/>
              <w:ind w:firstLine="0" w:firstLineChars="0"/>
              <w:jc w:val="center"/>
              <w:rPr>
                <w:bCs/>
                <w:color w:val="000000"/>
                <w:sz w:val="21"/>
                <w:szCs w:val="21"/>
              </w:rPr>
            </w:pPr>
            <w:bookmarkStart w:id="956" w:name="_Toc696_WPSOffice_Level2"/>
            <w:bookmarkStart w:id="957" w:name="_Toc13927"/>
            <w:bookmarkStart w:id="958" w:name="_Toc17449_WPSOffice_Level2"/>
            <w:bookmarkStart w:id="959" w:name="_Toc23918"/>
            <w:bookmarkStart w:id="960" w:name="_Toc8654_WPSOffice_Level2"/>
            <w:bookmarkStart w:id="961" w:name="_Toc30794"/>
            <w:bookmarkStart w:id="962" w:name="_Toc22294"/>
            <w:bookmarkStart w:id="963" w:name="_Toc30950"/>
            <w:bookmarkStart w:id="964" w:name="_Toc25647_WPSOffice_Level2"/>
            <w:bookmarkStart w:id="965" w:name="_Toc13624"/>
            <w:bookmarkStart w:id="966" w:name="_Toc333"/>
            <w:bookmarkStart w:id="967" w:name="_Toc32755"/>
            <w:bookmarkStart w:id="968" w:name="_Toc3213"/>
            <w:bookmarkStart w:id="969" w:name="_Toc14538"/>
            <w:bookmarkStart w:id="970" w:name="_Toc14048"/>
            <w:bookmarkStart w:id="971" w:name="_Toc1967_WPSOffice_Level2"/>
            <w:bookmarkStart w:id="972" w:name="_Toc5238"/>
            <w:bookmarkStart w:id="973" w:name="_Toc23725"/>
            <w:bookmarkStart w:id="974" w:name="_Toc31676"/>
            <w:bookmarkStart w:id="975" w:name="_Toc8913"/>
            <w:bookmarkStart w:id="976" w:name="_Toc22558"/>
            <w:bookmarkStart w:id="977" w:name="_Toc8070"/>
            <w:bookmarkStart w:id="978" w:name="_Toc7938"/>
            <w:r>
              <w:rPr>
                <w:rFonts w:hint="eastAsia"/>
                <w:bCs/>
                <w:color w:val="000000"/>
                <w:sz w:val="21"/>
                <w:szCs w:val="21"/>
              </w:rPr>
              <w:t>类别</w:t>
            </w: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仪器编号</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仪器型号</w:t>
            </w:r>
          </w:p>
        </w:tc>
        <w:tc>
          <w:tcPr>
            <w:tcW w:w="2123" w:type="dxa"/>
            <w:shd w:val="clear" w:color="auto" w:fill="auto"/>
            <w:vAlign w:val="center"/>
          </w:tcPr>
          <w:p>
            <w:pPr>
              <w:widowControl/>
              <w:spacing w:line="240" w:lineRule="auto"/>
              <w:ind w:firstLine="0" w:firstLineChars="0"/>
              <w:jc w:val="center"/>
              <w:rPr>
                <w:bCs/>
                <w:color w:val="000000"/>
                <w:sz w:val="21"/>
                <w:szCs w:val="21"/>
                <w:highlight w:val="none"/>
              </w:rPr>
            </w:pPr>
            <w:r>
              <w:rPr>
                <w:bCs/>
                <w:color w:val="000000"/>
                <w:sz w:val="21"/>
                <w:szCs w:val="21"/>
                <w:highlight w:val="none"/>
              </w:rPr>
              <w:t>仪器名称</w:t>
            </w:r>
          </w:p>
        </w:tc>
        <w:tc>
          <w:tcPr>
            <w:tcW w:w="2377" w:type="dxa"/>
            <w:shd w:val="clear" w:color="auto" w:fill="auto"/>
            <w:vAlign w:val="center"/>
          </w:tcPr>
          <w:p>
            <w:pPr>
              <w:widowControl/>
              <w:spacing w:line="240" w:lineRule="auto"/>
              <w:ind w:firstLine="0" w:firstLineChars="0"/>
              <w:jc w:val="center"/>
              <w:rPr>
                <w:bCs/>
                <w:color w:val="000000"/>
                <w:sz w:val="21"/>
                <w:szCs w:val="21"/>
                <w:highlight w:val="none"/>
              </w:rPr>
            </w:pPr>
            <w:r>
              <w:rPr>
                <w:bCs/>
                <w:color w:val="000000"/>
                <w:sz w:val="21"/>
                <w:szCs w:val="21"/>
                <w:highlight w:val="none"/>
              </w:rPr>
              <w:t>检定/校准有效期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restart"/>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废水检测仪器</w:t>
            </w:r>
          </w:p>
        </w:tc>
        <w:tc>
          <w:tcPr>
            <w:tcW w:w="1338"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XZFZ17</w:t>
            </w:r>
          </w:p>
        </w:tc>
        <w:tc>
          <w:tcPr>
            <w:tcW w:w="2066"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101-1EBS</w:t>
            </w:r>
          </w:p>
        </w:tc>
        <w:tc>
          <w:tcPr>
            <w:tcW w:w="2123" w:type="dxa"/>
            <w:shd w:val="clear" w:color="auto" w:fill="auto"/>
            <w:vAlign w:val="center"/>
          </w:tcPr>
          <w:p>
            <w:pPr>
              <w:pStyle w:val="88"/>
              <w:spacing w:line="280" w:lineRule="exact"/>
              <w:jc w:val="center"/>
              <w:rPr>
                <w:rFonts w:ascii="Times New Roman" w:hAnsi="Times New Roman"/>
                <w:bCs/>
                <w:color w:val="000000"/>
                <w:szCs w:val="21"/>
                <w:lang w:eastAsia="en-US"/>
              </w:rPr>
            </w:pPr>
            <w:r>
              <w:rPr>
                <w:rFonts w:ascii="Times New Roman" w:hAnsi="Times New Roman"/>
                <w:szCs w:val="21"/>
              </w:rPr>
              <w:t>电热鼓风干燥箱</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XZFZ19</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LRH-250A</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生化培养箱</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XZFZ21</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DHP-9082B</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电热恒温培养箱</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XZJC09</w:t>
            </w:r>
          </w:p>
        </w:tc>
        <w:tc>
          <w:tcPr>
            <w:tcW w:w="2066"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T6新悦</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可见分光光度计</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XZJC11</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ME104E/02</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电子天平</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XZJC43</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LRH-250A</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生化培养箱</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XZJC58</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JPSJ-605F</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溶解氧测定仪</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2024-01-11</w:t>
            </w:r>
            <w:r>
              <w:rPr>
                <w:rFonts w:hint="eastAsia" w:ascii="Times New Roman" w:hAnsi="Times New Roman"/>
                <w:szCs w:val="21"/>
              </w:rPr>
              <w:t>~</w:t>
            </w:r>
            <w:r>
              <w:rPr>
                <w:rFonts w:ascii="Times New Roman" w:hAnsi="Times New Roman"/>
                <w:szCs w:val="21"/>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XZJC69</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PHB-4</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便携式pH计</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2023-06-05</w:t>
            </w:r>
            <w:r>
              <w:rPr>
                <w:rFonts w:hint="eastAsia" w:ascii="Times New Roman" w:hAnsi="Times New Roman"/>
                <w:szCs w:val="21"/>
              </w:rPr>
              <w:t>~</w:t>
            </w:r>
            <w:r>
              <w:rPr>
                <w:rFonts w:ascii="Times New Roman" w:hAnsi="Times New Roman"/>
                <w:szCs w:val="21"/>
              </w:rPr>
              <w:t>2024-06-04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XZYQ187</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HH.SW-1</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表层水温表</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2023-06-16</w:t>
            </w:r>
            <w:r>
              <w:rPr>
                <w:rFonts w:hint="eastAsia" w:ascii="Times New Roman" w:hAnsi="Times New Roman"/>
                <w:szCs w:val="21"/>
              </w:rPr>
              <w:t>~</w:t>
            </w:r>
            <w:r>
              <w:rPr>
                <w:rFonts w:ascii="Times New Roman" w:hAnsi="Times New Roman"/>
                <w:szCs w:val="21"/>
              </w:rPr>
              <w:t>2024-06-15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pStyle w:val="88"/>
              <w:jc w:val="center"/>
              <w:rPr>
                <w:rFonts w:ascii="Times New Roman" w:hAnsi="Times New Roman"/>
                <w:bCs/>
                <w:color w:val="000000"/>
                <w:szCs w:val="21"/>
              </w:rPr>
            </w:pPr>
            <w:r>
              <w:rPr>
                <w:rFonts w:ascii="Times New Roman" w:hAnsi="Times New Roman"/>
              </w:rPr>
              <w:t>XZYQ189</w:t>
            </w:r>
          </w:p>
        </w:tc>
        <w:tc>
          <w:tcPr>
            <w:tcW w:w="2066" w:type="dxa"/>
            <w:shd w:val="clear" w:color="auto" w:fill="auto"/>
            <w:vAlign w:val="center"/>
          </w:tcPr>
          <w:p>
            <w:pPr>
              <w:pStyle w:val="88"/>
              <w:jc w:val="center"/>
              <w:rPr>
                <w:rFonts w:ascii="Times New Roman" w:hAnsi="Times New Roman"/>
                <w:bCs/>
                <w:color w:val="000000"/>
                <w:szCs w:val="21"/>
              </w:rPr>
            </w:pPr>
            <w:r>
              <w:rPr>
                <w:rFonts w:ascii="Times New Roman" w:hAnsi="Times New Roman"/>
              </w:rPr>
              <w:t>PHB-4</w:t>
            </w:r>
          </w:p>
        </w:tc>
        <w:tc>
          <w:tcPr>
            <w:tcW w:w="2123" w:type="dxa"/>
            <w:shd w:val="clear" w:color="auto" w:fill="auto"/>
            <w:vAlign w:val="center"/>
          </w:tcPr>
          <w:p>
            <w:pPr>
              <w:pStyle w:val="88"/>
              <w:jc w:val="center"/>
              <w:rPr>
                <w:rFonts w:ascii="Times New Roman" w:hAnsi="Times New Roman"/>
                <w:bCs/>
                <w:color w:val="000000"/>
                <w:szCs w:val="21"/>
                <w:lang w:eastAsia="en-US"/>
              </w:rPr>
            </w:pPr>
            <w:r>
              <w:rPr>
                <w:rFonts w:ascii="Times New Roman" w:hAnsi="Times New Roman"/>
              </w:rPr>
              <w:t>便携式pH计</w:t>
            </w:r>
          </w:p>
        </w:tc>
        <w:tc>
          <w:tcPr>
            <w:tcW w:w="2377" w:type="dxa"/>
            <w:shd w:val="clear" w:color="auto" w:fill="auto"/>
            <w:vAlign w:val="center"/>
          </w:tcPr>
          <w:p>
            <w:pPr>
              <w:pStyle w:val="88"/>
              <w:spacing w:line="280" w:lineRule="exact"/>
              <w:jc w:val="center"/>
              <w:rPr>
                <w:rFonts w:ascii="Times New Roman" w:hAnsi="Times New Roman"/>
                <w:bCs/>
                <w:color w:val="000000"/>
                <w:szCs w:val="21"/>
              </w:rPr>
            </w:pPr>
            <w:r>
              <w:rPr>
                <w:rFonts w:ascii="Times New Roman" w:hAnsi="Times New Roman"/>
                <w:szCs w:val="21"/>
              </w:rPr>
              <w:t>2023-06-05</w:t>
            </w:r>
            <w:r>
              <w:rPr>
                <w:rFonts w:hint="eastAsia" w:ascii="Times New Roman" w:hAnsi="Times New Roman"/>
                <w:szCs w:val="21"/>
              </w:rPr>
              <w:t>~</w:t>
            </w:r>
            <w:r>
              <w:rPr>
                <w:rFonts w:ascii="Times New Roman" w:hAnsi="Times New Roman"/>
                <w:szCs w:val="21"/>
              </w:rPr>
              <w:t>2024-06-04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restart"/>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废气及环境空气检测仪器</w:t>
            </w: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XZFZ18</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101-1EBS</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电热鼓风干燥箱</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2023-10-17~</w:t>
            </w:r>
            <w:r>
              <w:rPr>
                <w:bCs/>
                <w:sz w:val="21"/>
                <w:szCs w:val="21"/>
              </w:rPr>
              <w:t>2024-10-16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XZFZ20</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LHS-80HC- Ⅱ</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恒温恒湿箱</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2023-10-17~</w:t>
            </w:r>
            <w:r>
              <w:rPr>
                <w:bCs/>
                <w:sz w:val="21"/>
                <w:szCs w:val="21"/>
              </w:rPr>
              <w:t>2024-10-16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XZJC01</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A90</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气相色谱仪</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2022-01-05~</w:t>
            </w:r>
            <w:r>
              <w:rPr>
                <w:bCs/>
                <w:sz w:val="21"/>
                <w:szCs w:val="21"/>
              </w:rPr>
              <w:t>2024-01-04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XZJC10</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QUINTIX125D-1CN</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电子天平</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2023-10-16~</w:t>
            </w:r>
            <w:r>
              <w:rPr>
                <w:bCs/>
                <w:sz w:val="21"/>
                <w:szCs w:val="21"/>
              </w:rPr>
              <w:t>2024-10-15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XZJC11</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ME104E/02</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电子天平</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shd w:val="clear" w:color="auto" w:fill="FFFFFF"/>
              </w:rPr>
              <w:t>2023-10-16~</w:t>
            </w:r>
            <w:r>
              <w:rPr>
                <w:bCs/>
                <w:sz w:val="21"/>
                <w:szCs w:val="21"/>
              </w:rPr>
              <w:t>2024-10-15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XZJC49</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KS-HW250</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恒温恒湿试验箱</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2023-10-17~</w:t>
            </w:r>
            <w:r>
              <w:rPr>
                <w:bCs/>
                <w:sz w:val="21"/>
                <w:szCs w:val="21"/>
              </w:rPr>
              <w:t>2024-10-16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XZJC51</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AUW220D</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电子天平</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2023-10-16~</w:t>
            </w:r>
            <w:r>
              <w:rPr>
                <w:bCs/>
                <w:sz w:val="21"/>
                <w:szCs w:val="21"/>
              </w:rPr>
              <w:t>2024-10-15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XZJC67</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A60</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气相色谱仪</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2023-02-13~</w:t>
            </w:r>
            <w:r>
              <w:rPr>
                <w:bCs/>
                <w:sz w:val="21"/>
                <w:szCs w:val="21"/>
              </w:rPr>
              <w:t>2025-02-12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XZYQ104</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5500</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综合气象仪</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2023-06-05~</w:t>
            </w:r>
            <w:r>
              <w:rPr>
                <w:bCs/>
                <w:sz w:val="21"/>
                <w:szCs w:val="21"/>
              </w:rPr>
              <w:t>2024-06-04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XZYQ153</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YQ3000-D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大流量烟尘（气）测试仪</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2023-02-10~</w:t>
            </w:r>
            <w:r>
              <w:rPr>
                <w:bCs/>
                <w:sz w:val="21"/>
                <w:szCs w:val="21"/>
              </w:rPr>
              <w:t>2024-02-09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XZYQ177</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KB-6D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真空箱气袋采样器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XZYQ180</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KB-6D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真空箱气袋采样器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XZYQ181</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KB-6D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真空箱气袋采样器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XZYQ199</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YQ3000-D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大流量烟尘（气）测试仪</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2023-06-05~</w:t>
            </w:r>
            <w:r>
              <w:rPr>
                <w:bCs/>
                <w:sz w:val="21"/>
                <w:szCs w:val="21"/>
              </w:rPr>
              <w:t>2024-06-04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XZYQ200</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MH1205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恒温恒流大气/颗粒物采样器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2023-06-05~</w:t>
            </w:r>
            <w:r>
              <w:rPr>
                <w:bCs/>
                <w:sz w:val="21"/>
                <w:szCs w:val="21"/>
              </w:rPr>
              <w:t>2024-06-04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XZYQ208</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MH1200 型（21 代）</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全自动大气/颗粒物采样器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2023-08-25~</w:t>
            </w:r>
            <w:r>
              <w:rPr>
                <w:bCs/>
                <w:sz w:val="21"/>
                <w:szCs w:val="21"/>
              </w:rPr>
              <w:t>2024-08-24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808" w:type="dxa"/>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类别</w:t>
            </w: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仪器编号</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仪器型号</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仪器名称</w:t>
            </w:r>
          </w:p>
        </w:tc>
        <w:tc>
          <w:tcPr>
            <w:tcW w:w="2377"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检定/校准有效期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trPr>
        <w:tc>
          <w:tcPr>
            <w:tcW w:w="808" w:type="dxa"/>
            <w:vMerge w:val="restart"/>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废气及环境空气检测仪器</w:t>
            </w: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XZYQ211</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MH1200 型（21 代）</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全自动大气/颗粒物采样器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2023-08-25~</w:t>
            </w:r>
            <w:r>
              <w:rPr>
                <w:bCs/>
                <w:sz w:val="21"/>
                <w:szCs w:val="21"/>
              </w:rPr>
              <w:t>2024-08-24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XZYQ212</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MH1200 型（21 代）</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全自动大气/颗粒物采样器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2023-08-25~</w:t>
            </w:r>
            <w:r>
              <w:rPr>
                <w:bCs/>
                <w:sz w:val="21"/>
                <w:szCs w:val="21"/>
              </w:rPr>
              <w:t>2024-08-24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XZYQ213</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MH1200 型（21 代）</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全自动大气/颗粒物采样器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2023-08-25~</w:t>
            </w:r>
            <w:r>
              <w:rPr>
                <w:bCs/>
                <w:sz w:val="21"/>
                <w:szCs w:val="21"/>
              </w:rPr>
              <w:t>2024-08-24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XZYQ217</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KB-6D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真空箱气袋采样器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XZYQ218</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KB-6D 型</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真空箱气袋采样器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blHeader/>
        </w:trPr>
        <w:tc>
          <w:tcPr>
            <w:tcW w:w="808" w:type="dxa"/>
            <w:vMerge w:val="restart"/>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噪声检测仪器</w:t>
            </w: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XZYQ47</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AWA6228+</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多功能声级计</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2023-08-25~</w:t>
            </w:r>
            <w:r>
              <w:rPr>
                <w:bCs/>
                <w:sz w:val="21"/>
                <w:szCs w:val="21"/>
              </w:rPr>
              <w:t>2024-08-24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blHeader/>
        </w:trPr>
        <w:tc>
          <w:tcPr>
            <w:tcW w:w="808" w:type="dxa"/>
            <w:vMerge w:val="continue"/>
            <w:shd w:val="clear" w:color="auto" w:fill="auto"/>
            <w:vAlign w:val="center"/>
          </w:tcPr>
          <w:p>
            <w:pPr>
              <w:widowControl/>
              <w:spacing w:line="240" w:lineRule="auto"/>
              <w:ind w:firstLine="0" w:firstLineChars="0"/>
              <w:jc w:val="center"/>
              <w:rPr>
                <w:bCs/>
                <w:color w:val="000000"/>
                <w:sz w:val="21"/>
                <w:szCs w:val="21"/>
              </w:rPr>
            </w:pPr>
          </w:p>
        </w:tc>
        <w:tc>
          <w:tcPr>
            <w:tcW w:w="1338"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XZYQ52</w:t>
            </w:r>
          </w:p>
        </w:tc>
        <w:tc>
          <w:tcPr>
            <w:tcW w:w="2066"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AWA6221A</w:t>
            </w:r>
          </w:p>
        </w:tc>
        <w:tc>
          <w:tcPr>
            <w:tcW w:w="2123" w:type="dxa"/>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声校准器</w:t>
            </w:r>
          </w:p>
        </w:tc>
        <w:tc>
          <w:tcPr>
            <w:tcW w:w="2377" w:type="dxa"/>
            <w:shd w:val="clear" w:color="auto" w:fill="auto"/>
            <w:vAlign w:val="center"/>
          </w:tcPr>
          <w:p>
            <w:pPr>
              <w:widowControl/>
              <w:spacing w:line="240" w:lineRule="auto"/>
              <w:ind w:firstLine="0" w:firstLineChars="0"/>
              <w:jc w:val="center"/>
              <w:rPr>
                <w:bCs/>
                <w:color w:val="000000"/>
                <w:sz w:val="21"/>
                <w:szCs w:val="21"/>
              </w:rPr>
            </w:pPr>
            <w:r>
              <w:rPr>
                <w:sz w:val="21"/>
                <w:szCs w:val="21"/>
              </w:rPr>
              <w:t>2023-02-10~</w:t>
            </w:r>
            <w:r>
              <w:rPr>
                <w:bCs/>
                <w:sz w:val="21"/>
                <w:szCs w:val="21"/>
              </w:rPr>
              <w:t>2024-02-09</w:t>
            </w:r>
          </w:p>
        </w:tc>
      </w:tr>
    </w:tbl>
    <w:p>
      <w:pPr>
        <w:pStyle w:val="4"/>
      </w:pPr>
      <w:r>
        <w:t xml:space="preserve"> </w:t>
      </w:r>
      <w:bookmarkStart w:id="979" w:name="_Toc8661"/>
      <w:r>
        <w:t>8.3人员</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Pr>
          <w:rFonts w:hint="eastAsia"/>
        </w:rPr>
        <w:t>能力</w:t>
      </w:r>
      <w:bookmarkEnd w:id="979"/>
    </w:p>
    <w:bookmarkEnd w:id="974"/>
    <w:bookmarkEnd w:id="975"/>
    <w:p>
      <w:pPr>
        <w:ind w:firstLine="480"/>
      </w:pPr>
      <w:bookmarkStart w:id="980" w:name="_Toc29103"/>
      <w:bookmarkStart w:id="981" w:name="_Toc14043"/>
      <w:bookmarkStart w:id="982" w:name="_Toc2455"/>
      <w:bookmarkStart w:id="983" w:name="_Toc22873_WPSOffice_Level2"/>
      <w:bookmarkStart w:id="984" w:name="_Toc14559"/>
      <w:bookmarkStart w:id="985" w:name="_Toc30398"/>
      <w:bookmarkStart w:id="986" w:name="_Toc11070_WPSOffice_Level2"/>
      <w:bookmarkStart w:id="987" w:name="_Toc21942_WPSOffice_Level2"/>
      <w:bookmarkStart w:id="988" w:name="_Toc517446199"/>
      <w:bookmarkStart w:id="989" w:name="_Toc6676"/>
      <w:bookmarkStart w:id="990" w:name="_Toc4877"/>
      <w:bookmarkStart w:id="991" w:name="_Toc5389"/>
      <w:bookmarkStart w:id="992" w:name="_Toc27390_WPSOffice_Level2"/>
      <w:bookmarkStart w:id="993" w:name="_Toc32017"/>
      <w:bookmarkStart w:id="994" w:name="_Toc21036"/>
      <w:bookmarkStart w:id="995" w:name="_Toc7833"/>
      <w:bookmarkStart w:id="996" w:name="_Toc15135_WPSOffice_Level2"/>
      <w:bookmarkStart w:id="997" w:name="_Toc5182_WPSOffice_Level2"/>
      <w:bookmarkStart w:id="998" w:name="_Toc2986"/>
      <w:bookmarkStart w:id="999" w:name="_Toc5622"/>
      <w:bookmarkStart w:id="1000" w:name="_Toc19493"/>
      <w:bookmarkStart w:id="1001" w:name="_Toc22965"/>
      <w:bookmarkStart w:id="1002" w:name="_Toc30450"/>
      <w:bookmarkStart w:id="1003" w:name="_Toc22915"/>
      <w:bookmarkStart w:id="1004" w:name="_Toc31340_WPSOffice_Level2"/>
      <w:bookmarkStart w:id="1005" w:name="_Toc728"/>
      <w:bookmarkStart w:id="1006" w:name="_Toc10217"/>
      <w:r>
        <w:t>本项目检测委托</w:t>
      </w:r>
      <w:r>
        <w:rPr>
          <w:rFonts w:hint="eastAsia"/>
        </w:rPr>
        <w:t>山东信泽环境检测有限公司</w:t>
      </w:r>
      <w:r>
        <w:t>进行检测，参加监测的采样与实验分析人员均取得了相应项目的实验员合格证，在监测部门和行业进行环境监测工作多年，有丰富的经验，按照《环境监测人员持证上岗考核制度》持证上岗。监测数据实行了三级审核制度，检测报告经过复核、审核，最后由授权签字人签发。</w:t>
      </w:r>
    </w:p>
    <w:p>
      <w:pPr>
        <w:widowControl/>
        <w:ind w:firstLine="480"/>
        <w:jc w:val="left"/>
      </w:pPr>
      <w:r>
        <w:t>检测公司有关技术人员基本信息见表8.3-1。</w:t>
      </w:r>
    </w:p>
    <w:p>
      <w:pPr>
        <w:pStyle w:val="48"/>
      </w:pPr>
      <w:r>
        <w:t>表8.3-1 技术人员基本情况信息一览表</w:t>
      </w:r>
    </w:p>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tbl>
      <w:tblPr>
        <w:tblStyle w:val="34"/>
        <w:tblW w:w="8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64"/>
        <w:gridCol w:w="1377"/>
        <w:gridCol w:w="1473"/>
        <w:gridCol w:w="1988"/>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hint="eastAsia" w:ascii="Times New Roman" w:hAnsi="Times New Roman"/>
                <w:szCs w:val="21"/>
              </w:rPr>
            </w:pPr>
            <w:bookmarkStart w:id="1007" w:name="_Toc31190"/>
            <w:bookmarkStart w:id="1008" w:name="_Toc582"/>
            <w:bookmarkStart w:id="1009" w:name="_Toc3702_WPSOffice_Level2"/>
            <w:bookmarkStart w:id="1010" w:name="_Toc5848_WPSOffice_Level2"/>
            <w:bookmarkStart w:id="1011" w:name="_Toc26721"/>
            <w:bookmarkStart w:id="1012" w:name="_Toc28887_WPSOffice_Level2"/>
            <w:bookmarkStart w:id="1013" w:name="_Toc14989_WPSOffice_Level2"/>
            <w:bookmarkStart w:id="1014" w:name="_Toc24759"/>
            <w:bookmarkStart w:id="1015" w:name="_Toc30397"/>
            <w:r>
              <w:rPr>
                <w:rFonts w:hint="eastAsia" w:ascii="Times New Roman" w:hAnsi="Times New Roman"/>
                <w:szCs w:val="21"/>
              </w:rPr>
              <w:t>人员姓名</w:t>
            </w:r>
          </w:p>
        </w:tc>
        <w:tc>
          <w:tcPr>
            <w:tcW w:w="1377" w:type="dxa"/>
            <w:vAlign w:val="center"/>
          </w:tcPr>
          <w:p>
            <w:pPr>
              <w:pStyle w:val="82"/>
              <w:jc w:val="center"/>
              <w:rPr>
                <w:rFonts w:ascii="Times New Roman" w:hAnsi="Times New Roman"/>
              </w:rPr>
            </w:pPr>
            <w:r>
              <w:rPr>
                <w:rFonts w:hint="eastAsia" w:ascii="Times New Roman" w:hAnsi="Times New Roman"/>
              </w:rPr>
              <w:t>职务</w:t>
            </w:r>
          </w:p>
        </w:tc>
        <w:tc>
          <w:tcPr>
            <w:tcW w:w="1473" w:type="dxa"/>
            <w:vAlign w:val="center"/>
          </w:tcPr>
          <w:p>
            <w:pPr>
              <w:pStyle w:val="82"/>
              <w:jc w:val="center"/>
              <w:rPr>
                <w:rFonts w:ascii="Times New Roman" w:hAnsi="Times New Roman"/>
              </w:rPr>
            </w:pPr>
            <w:r>
              <w:rPr>
                <w:rFonts w:hint="eastAsia" w:ascii="Times New Roman" w:hAnsi="Times New Roman"/>
              </w:rPr>
              <w:t>工作年限</w:t>
            </w:r>
          </w:p>
        </w:tc>
        <w:tc>
          <w:tcPr>
            <w:tcW w:w="1988" w:type="dxa"/>
            <w:vAlign w:val="center"/>
          </w:tcPr>
          <w:p>
            <w:pPr>
              <w:pStyle w:val="82"/>
              <w:jc w:val="center"/>
              <w:rPr>
                <w:rFonts w:ascii="Times New Roman" w:hAnsi="Times New Roman"/>
              </w:rPr>
            </w:pPr>
            <w:r>
              <w:rPr>
                <w:rFonts w:hint="eastAsia" w:ascii="Times New Roman" w:hAnsi="Times New Roman"/>
              </w:rPr>
              <w:t>职称</w:t>
            </w:r>
          </w:p>
        </w:tc>
        <w:tc>
          <w:tcPr>
            <w:tcW w:w="1825" w:type="dxa"/>
            <w:vAlign w:val="center"/>
          </w:tcPr>
          <w:p>
            <w:pPr>
              <w:pStyle w:val="82"/>
              <w:jc w:val="center"/>
              <w:rPr>
                <w:rFonts w:ascii="Times New Roman" w:hAnsi="Times New Roman"/>
              </w:rPr>
            </w:pPr>
            <w:r>
              <w:rPr>
                <w:rFonts w:hint="eastAsia" w:ascii="Times New Roman" w:hAnsi="Times New Roman"/>
              </w:rPr>
              <w:t>上岗考核情况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hint="eastAsia" w:ascii="Times New Roman" w:hAnsi="Times New Roman"/>
                <w:szCs w:val="21"/>
              </w:rPr>
            </w:pPr>
            <w:r>
              <w:rPr>
                <w:rFonts w:hint="eastAsia" w:ascii="Times New Roman" w:hAnsi="Times New Roman"/>
                <w:szCs w:val="21"/>
              </w:rPr>
              <w:t>公言阳</w:t>
            </w:r>
          </w:p>
        </w:tc>
        <w:tc>
          <w:tcPr>
            <w:tcW w:w="1377" w:type="dxa"/>
            <w:vMerge w:val="restart"/>
            <w:vAlign w:val="center"/>
          </w:tcPr>
          <w:p>
            <w:pPr>
              <w:pStyle w:val="83"/>
              <w:jc w:val="center"/>
              <w:rPr>
                <w:rFonts w:ascii="Times New Roman" w:hAnsi="Times New Roman"/>
                <w:szCs w:val="21"/>
              </w:rPr>
            </w:pPr>
            <w:r>
              <w:rPr>
                <w:rFonts w:hint="eastAsia" w:ascii="Times New Roman" w:hAnsi="Times New Roman"/>
                <w:szCs w:val="21"/>
              </w:rPr>
              <w:t>采样人员</w:t>
            </w:r>
          </w:p>
        </w:tc>
        <w:tc>
          <w:tcPr>
            <w:tcW w:w="1473" w:type="dxa"/>
            <w:vAlign w:val="center"/>
          </w:tcPr>
          <w:p>
            <w:pPr>
              <w:pStyle w:val="83"/>
              <w:jc w:val="center"/>
              <w:rPr>
                <w:rFonts w:ascii="Times New Roman" w:hAnsi="Times New Roman"/>
                <w:szCs w:val="21"/>
              </w:rPr>
            </w:pPr>
            <w:r>
              <w:rPr>
                <w:rFonts w:hint="eastAsia" w:ascii="Times New Roman" w:hAnsi="Times New Roman"/>
                <w:szCs w:val="21"/>
              </w:rPr>
              <w:t>3年</w:t>
            </w:r>
          </w:p>
        </w:tc>
        <w:tc>
          <w:tcPr>
            <w:tcW w:w="1988" w:type="dxa"/>
            <w:vAlign w:val="center"/>
          </w:tcPr>
          <w:p>
            <w:pPr>
              <w:pStyle w:val="83"/>
              <w:jc w:val="center"/>
              <w:rPr>
                <w:rFonts w:ascii="Times New Roman" w:hAnsi="Times New Roman"/>
                <w:szCs w:val="21"/>
              </w:rPr>
            </w:pPr>
            <w:r>
              <w:rPr>
                <w:rFonts w:hint="eastAsia" w:ascii="Times New Roman" w:hAnsi="Times New Roman" w:cs="宋体"/>
                <w:szCs w:val="21"/>
                <w:lang w:bidi="ar"/>
              </w:rPr>
              <w:t>技术员</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hint="eastAsia" w:ascii="Times New Roman" w:hAnsi="Times New Roman"/>
                <w:szCs w:val="21"/>
              </w:rPr>
            </w:pPr>
            <w:r>
              <w:rPr>
                <w:rFonts w:hint="eastAsia" w:ascii="Times New Roman" w:hAnsi="Times New Roman"/>
                <w:szCs w:val="21"/>
              </w:rPr>
              <w:t>宋洋洋</w:t>
            </w:r>
          </w:p>
        </w:tc>
        <w:tc>
          <w:tcPr>
            <w:tcW w:w="1377" w:type="dxa"/>
            <w:vMerge w:val="continue"/>
            <w:vAlign w:val="center"/>
          </w:tcPr>
          <w:p>
            <w:pPr>
              <w:pStyle w:val="83"/>
              <w:jc w:val="center"/>
              <w:rPr>
                <w:rFonts w:ascii="Times New Roman" w:hAnsi="Times New Roman"/>
                <w:szCs w:val="21"/>
              </w:rPr>
            </w:pPr>
          </w:p>
        </w:tc>
        <w:tc>
          <w:tcPr>
            <w:tcW w:w="1473" w:type="dxa"/>
            <w:vAlign w:val="center"/>
          </w:tcPr>
          <w:p>
            <w:pPr>
              <w:pStyle w:val="83"/>
              <w:jc w:val="center"/>
              <w:rPr>
                <w:rFonts w:ascii="Times New Roman" w:hAnsi="Times New Roman"/>
                <w:szCs w:val="21"/>
              </w:rPr>
            </w:pPr>
            <w:r>
              <w:rPr>
                <w:rFonts w:ascii="Times New Roman" w:hAnsi="Times New Roman"/>
                <w:szCs w:val="21"/>
              </w:rPr>
              <w:t>2</w:t>
            </w:r>
            <w:r>
              <w:rPr>
                <w:rFonts w:hint="eastAsia" w:ascii="Times New Roman" w:hAnsi="Times New Roman"/>
                <w:szCs w:val="21"/>
              </w:rPr>
              <w:t>年</w:t>
            </w:r>
          </w:p>
        </w:tc>
        <w:tc>
          <w:tcPr>
            <w:tcW w:w="1988" w:type="dxa"/>
            <w:vAlign w:val="center"/>
          </w:tcPr>
          <w:p>
            <w:pPr>
              <w:pStyle w:val="83"/>
              <w:jc w:val="center"/>
              <w:rPr>
                <w:rFonts w:ascii="Times New Roman" w:hAnsi="Times New Roman"/>
                <w:szCs w:val="21"/>
              </w:rPr>
            </w:pPr>
            <w:r>
              <w:rPr>
                <w:rFonts w:hint="eastAsia" w:ascii="Times New Roman" w:hAnsi="Times New Roman" w:cs="宋体"/>
                <w:szCs w:val="21"/>
                <w:lang w:bidi="ar"/>
              </w:rPr>
              <w:t>技术员</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hint="eastAsia" w:ascii="Times New Roman" w:hAnsi="Times New Roman"/>
                <w:szCs w:val="21"/>
              </w:rPr>
            </w:pPr>
            <w:r>
              <w:rPr>
                <w:rFonts w:hint="eastAsia" w:ascii="Times New Roman" w:hAnsi="Times New Roman"/>
                <w:szCs w:val="21"/>
              </w:rPr>
              <w:t>孙清华</w:t>
            </w:r>
          </w:p>
        </w:tc>
        <w:tc>
          <w:tcPr>
            <w:tcW w:w="1377" w:type="dxa"/>
            <w:vMerge w:val="continue"/>
            <w:vAlign w:val="center"/>
          </w:tcPr>
          <w:p>
            <w:pPr>
              <w:pStyle w:val="83"/>
              <w:jc w:val="center"/>
              <w:rPr>
                <w:rFonts w:ascii="Times New Roman" w:hAnsi="Times New Roman"/>
                <w:szCs w:val="21"/>
              </w:rPr>
            </w:pPr>
          </w:p>
        </w:tc>
        <w:tc>
          <w:tcPr>
            <w:tcW w:w="1473" w:type="dxa"/>
            <w:vAlign w:val="center"/>
          </w:tcPr>
          <w:p>
            <w:pPr>
              <w:pStyle w:val="83"/>
              <w:jc w:val="center"/>
              <w:rPr>
                <w:rFonts w:ascii="Times New Roman" w:hAnsi="Times New Roman"/>
                <w:szCs w:val="21"/>
              </w:rPr>
            </w:pPr>
            <w:r>
              <w:rPr>
                <w:rFonts w:hint="eastAsia" w:ascii="Times New Roman" w:hAnsi="Times New Roman"/>
                <w:szCs w:val="21"/>
              </w:rPr>
              <w:t>1 年</w:t>
            </w:r>
          </w:p>
        </w:tc>
        <w:tc>
          <w:tcPr>
            <w:tcW w:w="1988" w:type="dxa"/>
            <w:vAlign w:val="center"/>
          </w:tcPr>
          <w:p>
            <w:pPr>
              <w:pStyle w:val="83"/>
              <w:jc w:val="center"/>
              <w:rPr>
                <w:rFonts w:ascii="Times New Roman" w:hAnsi="Times New Roman" w:cs="宋体"/>
                <w:szCs w:val="21"/>
                <w:lang w:bidi="ar"/>
              </w:rPr>
            </w:pPr>
            <w:r>
              <w:rPr>
                <w:rFonts w:hint="eastAsia" w:ascii="Times New Roman" w:hAnsi="Times New Roman" w:cs="宋体"/>
                <w:szCs w:val="21"/>
                <w:lang w:bidi="ar"/>
              </w:rPr>
              <w:t>技术员</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hint="eastAsia" w:ascii="Times New Roman" w:hAnsi="Times New Roman"/>
                <w:szCs w:val="21"/>
              </w:rPr>
            </w:pPr>
            <w:r>
              <w:rPr>
                <w:rFonts w:hint="eastAsia" w:ascii="Times New Roman" w:hAnsi="Times New Roman"/>
                <w:szCs w:val="21"/>
              </w:rPr>
              <w:t>张彦强</w:t>
            </w:r>
          </w:p>
        </w:tc>
        <w:tc>
          <w:tcPr>
            <w:tcW w:w="1377" w:type="dxa"/>
            <w:vMerge w:val="continue"/>
            <w:vAlign w:val="center"/>
          </w:tcPr>
          <w:p>
            <w:pPr>
              <w:pStyle w:val="83"/>
              <w:jc w:val="center"/>
              <w:rPr>
                <w:rFonts w:ascii="Times New Roman" w:hAnsi="Times New Roman"/>
                <w:szCs w:val="21"/>
              </w:rPr>
            </w:pPr>
          </w:p>
        </w:tc>
        <w:tc>
          <w:tcPr>
            <w:tcW w:w="1473" w:type="dxa"/>
            <w:vAlign w:val="center"/>
          </w:tcPr>
          <w:p>
            <w:pPr>
              <w:pStyle w:val="83"/>
              <w:jc w:val="center"/>
              <w:rPr>
                <w:rFonts w:ascii="Times New Roman" w:hAnsi="Times New Roman"/>
                <w:szCs w:val="21"/>
              </w:rPr>
            </w:pPr>
            <w:r>
              <w:rPr>
                <w:rFonts w:hint="eastAsia" w:ascii="Times New Roman" w:hAnsi="Times New Roman"/>
                <w:szCs w:val="21"/>
              </w:rPr>
              <w:t>4年</w:t>
            </w:r>
          </w:p>
        </w:tc>
        <w:tc>
          <w:tcPr>
            <w:tcW w:w="1988" w:type="dxa"/>
            <w:vAlign w:val="center"/>
          </w:tcPr>
          <w:p>
            <w:pPr>
              <w:pStyle w:val="83"/>
              <w:jc w:val="center"/>
              <w:rPr>
                <w:rFonts w:ascii="Times New Roman" w:hAnsi="Times New Roman" w:cs="宋体"/>
                <w:szCs w:val="21"/>
                <w:lang w:bidi="ar"/>
              </w:rPr>
            </w:pPr>
            <w:r>
              <w:rPr>
                <w:rFonts w:hint="eastAsia" w:ascii="Times New Roman" w:hAnsi="Times New Roman" w:cs="宋体"/>
                <w:szCs w:val="21"/>
                <w:lang w:bidi="ar"/>
              </w:rPr>
              <w:t>技术员</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ascii="Times New Roman" w:hAnsi="Times New Roman"/>
                <w:szCs w:val="21"/>
              </w:rPr>
            </w:pPr>
            <w:r>
              <w:rPr>
                <w:rFonts w:ascii="Times New Roman"/>
                <w:szCs w:val="21"/>
              </w:rPr>
              <w:t>郭勤见</w:t>
            </w:r>
          </w:p>
        </w:tc>
        <w:tc>
          <w:tcPr>
            <w:tcW w:w="1377" w:type="dxa"/>
            <w:vMerge w:val="restart"/>
            <w:vAlign w:val="center"/>
          </w:tcPr>
          <w:p>
            <w:pPr>
              <w:pStyle w:val="83"/>
              <w:jc w:val="center"/>
              <w:rPr>
                <w:rFonts w:ascii="Times New Roman" w:hAnsi="Times New Roman"/>
                <w:szCs w:val="21"/>
              </w:rPr>
            </w:pPr>
            <w:r>
              <w:rPr>
                <w:rFonts w:hint="eastAsia" w:ascii="Times New Roman" w:hAnsi="Times New Roman"/>
                <w:szCs w:val="21"/>
              </w:rPr>
              <w:t>分析人员</w:t>
            </w:r>
          </w:p>
        </w:tc>
        <w:tc>
          <w:tcPr>
            <w:tcW w:w="1473" w:type="dxa"/>
            <w:vAlign w:val="center"/>
          </w:tcPr>
          <w:p>
            <w:pPr>
              <w:pStyle w:val="83"/>
              <w:jc w:val="center"/>
              <w:rPr>
                <w:rFonts w:ascii="Times New Roman" w:hAnsi="Times New Roman"/>
                <w:szCs w:val="21"/>
              </w:rPr>
            </w:pPr>
            <w:r>
              <w:rPr>
                <w:rFonts w:ascii="Times New Roman" w:hAnsi="Times New Roman"/>
                <w:szCs w:val="21"/>
              </w:rPr>
              <w:t>2</w:t>
            </w:r>
            <w:r>
              <w:rPr>
                <w:rFonts w:hint="eastAsia" w:ascii="Times New Roman" w:hAnsi="Times New Roman"/>
                <w:szCs w:val="21"/>
              </w:rPr>
              <w:t>年</w:t>
            </w:r>
          </w:p>
        </w:tc>
        <w:tc>
          <w:tcPr>
            <w:tcW w:w="1988" w:type="dxa"/>
            <w:vAlign w:val="center"/>
          </w:tcPr>
          <w:p>
            <w:pPr>
              <w:pStyle w:val="83"/>
              <w:jc w:val="center"/>
              <w:rPr>
                <w:rFonts w:ascii="Times New Roman" w:hAnsi="Times New Roman"/>
                <w:szCs w:val="21"/>
              </w:rPr>
            </w:pPr>
            <w:r>
              <w:rPr>
                <w:rFonts w:hint="eastAsia" w:ascii="Times New Roman" w:hAnsi="Times New Roman" w:cs="宋体"/>
                <w:szCs w:val="21"/>
                <w:lang w:bidi="ar"/>
              </w:rPr>
              <w:t>技术员</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ascii="Times New Roman"/>
                <w:szCs w:val="21"/>
              </w:rPr>
            </w:pPr>
            <w:r>
              <w:rPr>
                <w:rFonts w:ascii="Times New Roman"/>
                <w:szCs w:val="21"/>
              </w:rPr>
              <w:t>孟德芳</w:t>
            </w:r>
          </w:p>
        </w:tc>
        <w:tc>
          <w:tcPr>
            <w:tcW w:w="1377" w:type="dxa"/>
            <w:vMerge w:val="continue"/>
            <w:vAlign w:val="center"/>
          </w:tcPr>
          <w:p>
            <w:pPr>
              <w:pStyle w:val="83"/>
              <w:jc w:val="center"/>
              <w:rPr>
                <w:rFonts w:ascii="Times New Roman"/>
                <w:szCs w:val="21"/>
              </w:rPr>
            </w:pPr>
          </w:p>
        </w:tc>
        <w:tc>
          <w:tcPr>
            <w:tcW w:w="1473" w:type="dxa"/>
            <w:vAlign w:val="center"/>
          </w:tcPr>
          <w:p>
            <w:pPr>
              <w:pStyle w:val="83"/>
              <w:jc w:val="center"/>
              <w:rPr>
                <w:rFonts w:ascii="Times New Roman" w:hAnsi="Times New Roman"/>
                <w:szCs w:val="21"/>
              </w:rPr>
            </w:pPr>
            <w:r>
              <w:rPr>
                <w:rFonts w:ascii="Times New Roman" w:hAnsi="Times New Roman"/>
                <w:szCs w:val="21"/>
              </w:rPr>
              <w:t>7</w:t>
            </w:r>
            <w:r>
              <w:rPr>
                <w:rFonts w:hint="eastAsia" w:ascii="Times New Roman" w:hAnsi="Times New Roman"/>
                <w:szCs w:val="21"/>
              </w:rPr>
              <w:t>年</w:t>
            </w:r>
          </w:p>
        </w:tc>
        <w:tc>
          <w:tcPr>
            <w:tcW w:w="1988" w:type="dxa"/>
            <w:vAlign w:val="center"/>
          </w:tcPr>
          <w:p>
            <w:pPr>
              <w:pStyle w:val="83"/>
              <w:jc w:val="center"/>
              <w:rPr>
                <w:rFonts w:ascii="Times New Roman" w:hAnsi="Times New Roman"/>
                <w:szCs w:val="21"/>
              </w:rPr>
            </w:pPr>
            <w:r>
              <w:rPr>
                <w:rFonts w:hint="eastAsia" w:ascii="Times New Roman" w:hAnsi="Times New Roman"/>
                <w:szCs w:val="21"/>
              </w:rPr>
              <w:t>中级</w:t>
            </w:r>
            <w:r>
              <w:rPr>
                <w:rFonts w:ascii="Times New Roman" w:hAnsi="Times New Roman"/>
                <w:szCs w:val="21"/>
              </w:rPr>
              <w:t>工程师</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ascii="Times New Roman"/>
                <w:szCs w:val="21"/>
              </w:rPr>
            </w:pPr>
            <w:r>
              <w:rPr>
                <w:rFonts w:ascii="Times New Roman"/>
                <w:szCs w:val="21"/>
              </w:rPr>
              <w:t>梁荣荣</w:t>
            </w:r>
          </w:p>
        </w:tc>
        <w:tc>
          <w:tcPr>
            <w:tcW w:w="1377" w:type="dxa"/>
            <w:vMerge w:val="continue"/>
            <w:vAlign w:val="center"/>
          </w:tcPr>
          <w:p>
            <w:pPr>
              <w:pStyle w:val="83"/>
              <w:jc w:val="center"/>
              <w:rPr>
                <w:rFonts w:ascii="Times New Roman"/>
                <w:szCs w:val="21"/>
              </w:rPr>
            </w:pPr>
          </w:p>
        </w:tc>
        <w:tc>
          <w:tcPr>
            <w:tcW w:w="1473" w:type="dxa"/>
            <w:vAlign w:val="center"/>
          </w:tcPr>
          <w:p>
            <w:pPr>
              <w:pStyle w:val="83"/>
              <w:jc w:val="center"/>
              <w:rPr>
                <w:rFonts w:ascii="Times New Roman" w:hAnsi="Times New Roman"/>
                <w:szCs w:val="21"/>
              </w:rPr>
            </w:pPr>
            <w:r>
              <w:rPr>
                <w:rFonts w:hint="eastAsia" w:ascii="Times New Roman" w:hAnsi="Times New Roman"/>
                <w:szCs w:val="21"/>
              </w:rPr>
              <w:t>5年</w:t>
            </w:r>
          </w:p>
        </w:tc>
        <w:tc>
          <w:tcPr>
            <w:tcW w:w="1988" w:type="dxa"/>
            <w:vAlign w:val="center"/>
          </w:tcPr>
          <w:p>
            <w:pPr>
              <w:pStyle w:val="83"/>
              <w:jc w:val="center"/>
              <w:rPr>
                <w:rFonts w:ascii="Times New Roman" w:hAnsi="Times New Roman"/>
                <w:szCs w:val="21"/>
              </w:rPr>
            </w:pPr>
            <w:r>
              <w:rPr>
                <w:rFonts w:hint="eastAsia" w:ascii="Times New Roman" w:hAnsi="Times New Roman" w:cs="宋体"/>
                <w:szCs w:val="21"/>
                <w:lang w:bidi="ar"/>
              </w:rPr>
              <w:t>助理工程师</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ascii="Times New Roman" w:hAnsi="Times New Roman"/>
                <w:szCs w:val="21"/>
              </w:rPr>
            </w:pPr>
            <w:r>
              <w:rPr>
                <w:rFonts w:hint="eastAsia" w:ascii="Times New Roman" w:hAnsi="Times New Roman"/>
                <w:szCs w:val="21"/>
              </w:rPr>
              <w:t>柏庆赫</w:t>
            </w:r>
          </w:p>
        </w:tc>
        <w:tc>
          <w:tcPr>
            <w:tcW w:w="1377" w:type="dxa"/>
            <w:vMerge w:val="continue"/>
            <w:vAlign w:val="center"/>
          </w:tcPr>
          <w:p>
            <w:pPr>
              <w:pStyle w:val="83"/>
              <w:jc w:val="center"/>
              <w:rPr>
                <w:rFonts w:ascii="Times New Roman" w:hAnsi="Times New Roman"/>
                <w:szCs w:val="21"/>
              </w:rPr>
            </w:pPr>
          </w:p>
        </w:tc>
        <w:tc>
          <w:tcPr>
            <w:tcW w:w="1473" w:type="dxa"/>
            <w:vAlign w:val="center"/>
          </w:tcPr>
          <w:p>
            <w:pPr>
              <w:pStyle w:val="83"/>
              <w:jc w:val="center"/>
              <w:rPr>
                <w:rFonts w:ascii="Times New Roman" w:hAnsi="Times New Roman"/>
                <w:szCs w:val="21"/>
              </w:rPr>
            </w:pPr>
            <w:r>
              <w:rPr>
                <w:rFonts w:hint="eastAsia" w:ascii="Times New Roman" w:hAnsi="Times New Roman"/>
                <w:szCs w:val="21"/>
              </w:rPr>
              <w:t>6 年</w:t>
            </w:r>
          </w:p>
        </w:tc>
        <w:tc>
          <w:tcPr>
            <w:tcW w:w="1988" w:type="dxa"/>
            <w:vAlign w:val="center"/>
          </w:tcPr>
          <w:p>
            <w:pPr>
              <w:pStyle w:val="83"/>
              <w:jc w:val="center"/>
              <w:rPr>
                <w:rFonts w:ascii="Times New Roman" w:hAnsi="Times New Roman"/>
                <w:szCs w:val="21"/>
              </w:rPr>
            </w:pPr>
            <w:r>
              <w:rPr>
                <w:rFonts w:hint="eastAsia" w:ascii="Times New Roman" w:hAnsi="Times New Roman"/>
                <w:szCs w:val="21"/>
              </w:rPr>
              <w:t>技术员</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4" w:type="dxa"/>
            <w:vAlign w:val="center"/>
          </w:tcPr>
          <w:p>
            <w:pPr>
              <w:pStyle w:val="83"/>
              <w:jc w:val="center"/>
              <w:rPr>
                <w:rFonts w:ascii="Times New Roman" w:hAnsi="Times New Roman"/>
                <w:szCs w:val="21"/>
              </w:rPr>
            </w:pPr>
            <w:r>
              <w:rPr>
                <w:rFonts w:hint="eastAsia" w:ascii="Times New Roman" w:hAnsi="Times New Roman"/>
                <w:szCs w:val="21"/>
              </w:rPr>
              <w:t>陈欣欣</w:t>
            </w:r>
          </w:p>
        </w:tc>
        <w:tc>
          <w:tcPr>
            <w:tcW w:w="1377" w:type="dxa"/>
            <w:vMerge w:val="continue"/>
            <w:vAlign w:val="center"/>
          </w:tcPr>
          <w:p>
            <w:pPr>
              <w:pStyle w:val="83"/>
              <w:jc w:val="center"/>
              <w:rPr>
                <w:rFonts w:ascii="Times New Roman" w:hAnsi="Times New Roman"/>
                <w:szCs w:val="21"/>
              </w:rPr>
            </w:pPr>
          </w:p>
        </w:tc>
        <w:tc>
          <w:tcPr>
            <w:tcW w:w="1473" w:type="dxa"/>
            <w:vAlign w:val="center"/>
          </w:tcPr>
          <w:p>
            <w:pPr>
              <w:pStyle w:val="83"/>
              <w:jc w:val="center"/>
              <w:rPr>
                <w:rFonts w:ascii="Times New Roman" w:hAnsi="Times New Roman"/>
                <w:szCs w:val="21"/>
              </w:rPr>
            </w:pPr>
            <w:r>
              <w:rPr>
                <w:rFonts w:hint="eastAsia" w:ascii="Times New Roman" w:hAnsi="Times New Roman"/>
                <w:szCs w:val="21"/>
              </w:rPr>
              <w:t>5 年</w:t>
            </w:r>
          </w:p>
        </w:tc>
        <w:tc>
          <w:tcPr>
            <w:tcW w:w="1988" w:type="dxa"/>
            <w:vAlign w:val="center"/>
          </w:tcPr>
          <w:p>
            <w:pPr>
              <w:pStyle w:val="83"/>
              <w:jc w:val="center"/>
              <w:rPr>
                <w:rFonts w:ascii="Times New Roman" w:hAnsi="Times New Roman"/>
                <w:szCs w:val="21"/>
              </w:rPr>
            </w:pPr>
            <w:r>
              <w:rPr>
                <w:rFonts w:hint="eastAsia" w:ascii="Times New Roman" w:hAnsi="Times New Roman"/>
                <w:szCs w:val="21"/>
              </w:rPr>
              <w:t>助理工程师</w:t>
            </w:r>
          </w:p>
        </w:tc>
        <w:tc>
          <w:tcPr>
            <w:tcW w:w="1825" w:type="dxa"/>
            <w:vAlign w:val="center"/>
          </w:tcPr>
          <w:p>
            <w:pPr>
              <w:pStyle w:val="83"/>
              <w:jc w:val="center"/>
              <w:rPr>
                <w:rFonts w:ascii="Times New Roman" w:hAnsi="Times New Roman"/>
                <w:szCs w:val="21"/>
              </w:rPr>
            </w:pPr>
            <w:r>
              <w:rPr>
                <w:rFonts w:hint="eastAsia" w:ascii="Times New Roman" w:hAnsi="Times New Roman"/>
                <w:szCs w:val="21"/>
              </w:rPr>
              <w:t>考核上岗</w:t>
            </w:r>
          </w:p>
        </w:tc>
      </w:tr>
    </w:tbl>
    <w:p>
      <w:pPr>
        <w:pStyle w:val="4"/>
      </w:pPr>
      <w:bookmarkStart w:id="1016" w:name="_Toc14547"/>
      <w:r>
        <w:t>8.</w:t>
      </w:r>
      <w:r>
        <w:rPr>
          <w:rFonts w:hint="eastAsia"/>
        </w:rPr>
        <w:t>4水质监测分析过程中的质量保证和质量控制</w:t>
      </w:r>
      <w:bookmarkEnd w:id="1016"/>
    </w:p>
    <w:p>
      <w:pPr>
        <w:ind w:firstLine="480"/>
      </w:pPr>
      <w:r>
        <w:t>水样的采集、运输、保存、实验室分析和数据计算的全过程均按《环境水质监测质量保证手册》（第四版）的要求进行。</w:t>
      </w:r>
    </w:p>
    <w:p>
      <w:pPr>
        <w:ind w:firstLine="480"/>
      </w:pPr>
      <w:r>
        <w:t>（1） 检测期间及时了解工况情况，确保检测过程中生产负荷满足要求。</w:t>
      </w:r>
    </w:p>
    <w:p>
      <w:pPr>
        <w:ind w:firstLine="480"/>
      </w:pPr>
      <w:r>
        <w:t>（2） 检测点位、检测因子与频率及抽样率设置合理规范，保证检测数据具备科学性和代表性。</w:t>
      </w:r>
    </w:p>
    <w:p>
      <w:pPr>
        <w:ind w:firstLine="480"/>
      </w:pPr>
      <w:r>
        <w:t>（3） 采用国标检测分析方法，检测采样与测试分析人员均经国家考核合格并持证上岗，检测仪器经计量部门检定并在有效使用期内。</w:t>
      </w:r>
    </w:p>
    <w:p>
      <w:pPr>
        <w:ind w:firstLine="480"/>
      </w:pPr>
      <w:r>
        <w:t>（4） 按照《地表水和污水监测技术规范》（HJ/T 91-2002）对样品的采集、保存以及运输采取质量控制措施。主要包括依据该标准表4-4选用合适的采样容器，并对容器进行洗涤；水样运输前将容器盖盖紧，确认所采水样全部装箱；运输时有专门押运人员；水样交化验室时，办理交接手续。</w:t>
      </w:r>
    </w:p>
    <w:p>
      <w:pPr>
        <w:ind w:firstLine="480"/>
      </w:pPr>
      <w:r>
        <w:t>（5） 检测数据和技术报告执行三级审核制度</w:t>
      </w:r>
    </w:p>
    <w:p>
      <w:pPr>
        <w:ind w:firstLine="480"/>
      </w:pPr>
      <w:r>
        <w:t>（6） 精密度控制，准确度控制，质控样数量10%。</w:t>
      </w:r>
    </w:p>
    <w:p>
      <w:pPr>
        <w:ind w:firstLine="480"/>
      </w:pPr>
      <w:r>
        <w:t>水质检测分析质量控制表见表8.4-1、表8.4-2</w:t>
      </w:r>
      <w:r>
        <w:rPr>
          <w:rFonts w:hint="eastAsia"/>
        </w:rPr>
        <w:t>、</w:t>
      </w:r>
      <w:r>
        <w:t>表8.4-</w:t>
      </w:r>
      <w:r>
        <w:rPr>
          <w:rFonts w:hint="eastAsia"/>
        </w:rPr>
        <w:t>3</w:t>
      </w:r>
      <w:r>
        <w:t>。</w:t>
      </w:r>
    </w:p>
    <w:p>
      <w:pPr>
        <w:spacing w:before="28" w:line="218" w:lineRule="auto"/>
        <w:ind w:left="669" w:firstLine="480"/>
        <w:jc w:val="center"/>
        <w:rPr>
          <w:rFonts w:eastAsia="黑体"/>
          <w:szCs w:val="32"/>
        </w:rPr>
      </w:pPr>
      <w:r>
        <w:rPr>
          <w:rFonts w:eastAsia="黑体"/>
          <w:szCs w:val="32"/>
        </w:rPr>
        <w:t>8.4-1 空白质控结果一览表</w:t>
      </w:r>
    </w:p>
    <w:tbl>
      <w:tblPr>
        <w:tblStyle w:val="86"/>
        <w:tblW w:w="8781" w:type="dxa"/>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2019"/>
        <w:gridCol w:w="2308"/>
        <w:gridCol w:w="1638"/>
        <w:gridCol w:w="1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top w:val="single" w:color="000000" w:sz="2" w:space="0"/>
              <w:left w:val="single" w:color="000000" w:sz="2" w:space="0"/>
            </w:tcBorders>
            <w:vAlign w:val="center"/>
          </w:tcPr>
          <w:p>
            <w:pPr>
              <w:pStyle w:val="83"/>
              <w:jc w:val="center"/>
              <w:rPr>
                <w:rFonts w:ascii="Times New Roman" w:hAnsi="Times New Roman"/>
                <w:sz w:val="18"/>
                <w:szCs w:val="18"/>
              </w:rPr>
            </w:pPr>
            <w:r>
              <w:rPr>
                <w:rFonts w:hint="eastAsia" w:ascii="Times New Roman" w:hAnsi="Times New Roman"/>
                <w:sz w:val="18"/>
                <w:szCs w:val="18"/>
              </w:rPr>
              <w:t>检测日期</w:t>
            </w:r>
          </w:p>
        </w:tc>
        <w:tc>
          <w:tcPr>
            <w:tcW w:w="2019" w:type="dxa"/>
            <w:tcBorders>
              <w:top w:val="single" w:color="000000" w:sz="2" w:space="0"/>
            </w:tcBorders>
            <w:vAlign w:val="center"/>
          </w:tcPr>
          <w:p>
            <w:pPr>
              <w:pStyle w:val="83"/>
              <w:jc w:val="center"/>
              <w:rPr>
                <w:rFonts w:ascii="Times New Roman" w:hAnsi="Times New Roman"/>
                <w:sz w:val="18"/>
                <w:szCs w:val="18"/>
              </w:rPr>
            </w:pPr>
            <w:r>
              <w:rPr>
                <w:rFonts w:hint="eastAsia" w:ascii="Times New Roman" w:hAnsi="Times New Roman"/>
                <w:sz w:val="18"/>
                <w:szCs w:val="18"/>
              </w:rPr>
              <w:t>检测项目</w:t>
            </w:r>
          </w:p>
        </w:tc>
        <w:tc>
          <w:tcPr>
            <w:tcW w:w="2308" w:type="dxa"/>
            <w:tcBorders>
              <w:top w:val="single" w:color="000000" w:sz="2" w:space="0"/>
            </w:tcBorders>
            <w:vAlign w:val="center"/>
          </w:tcPr>
          <w:p>
            <w:pPr>
              <w:pStyle w:val="83"/>
              <w:jc w:val="center"/>
              <w:rPr>
                <w:rFonts w:ascii="Times New Roman" w:hAnsi="Times New Roman"/>
                <w:sz w:val="18"/>
                <w:szCs w:val="18"/>
              </w:rPr>
            </w:pPr>
            <w:r>
              <w:rPr>
                <w:rFonts w:hint="eastAsia" w:ascii="Times New Roman" w:hAnsi="Times New Roman"/>
                <w:sz w:val="18"/>
                <w:szCs w:val="18"/>
              </w:rPr>
              <w:t>样品编码</w:t>
            </w:r>
          </w:p>
        </w:tc>
        <w:tc>
          <w:tcPr>
            <w:tcW w:w="1638" w:type="dxa"/>
            <w:tcBorders>
              <w:top w:val="single" w:color="000000" w:sz="2" w:space="0"/>
            </w:tcBorders>
            <w:vAlign w:val="center"/>
          </w:tcPr>
          <w:p>
            <w:pPr>
              <w:pStyle w:val="83"/>
              <w:jc w:val="center"/>
              <w:rPr>
                <w:rFonts w:ascii="Times New Roman" w:hAnsi="Times New Roman"/>
                <w:sz w:val="18"/>
                <w:szCs w:val="18"/>
              </w:rPr>
            </w:pPr>
            <w:r>
              <w:rPr>
                <w:rFonts w:hint="eastAsia" w:ascii="Times New Roman" w:hAnsi="Times New Roman"/>
                <w:sz w:val="18"/>
                <w:szCs w:val="18"/>
              </w:rPr>
              <w:t>检测结果</w:t>
            </w:r>
          </w:p>
        </w:tc>
        <w:tc>
          <w:tcPr>
            <w:tcW w:w="1477" w:type="dxa"/>
            <w:tcBorders>
              <w:top w:val="single" w:color="000000" w:sz="2" w:space="0"/>
              <w:right w:val="single" w:color="000000" w:sz="2" w:space="0"/>
            </w:tcBorders>
            <w:vAlign w:val="center"/>
          </w:tcPr>
          <w:p>
            <w:pPr>
              <w:pStyle w:val="83"/>
              <w:jc w:val="center"/>
              <w:rPr>
                <w:rFonts w:ascii="Times New Roman" w:hAnsi="Times New Roman"/>
                <w:sz w:val="18"/>
                <w:szCs w:val="18"/>
              </w:rPr>
            </w:pPr>
            <w:r>
              <w:rPr>
                <w:rFonts w:hint="eastAsia" w:ascii="Times New Roman" w:hAnsi="Times New Roman"/>
                <w:sz w:val="18"/>
                <w:szCs w:val="18"/>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2024-02-29</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阴离子表面活性剂</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2024040007-L0104QK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0.05L mg/L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2024-03-01</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阴离子表面活性剂</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2024040007-L0108QK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0.05L mg/L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2024-03-05</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五日生化需氧量</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2024040007-L0104QK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0.5L mg/L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2024-03-06</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五日生化需氧量</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2024040007-L0108QK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0.5L mg/L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2024-03-02</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粪大肠菌群</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2024040007-L0104QK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20LMPN/L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2024-03-03</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粪大肠菌群</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2024040007-L0108QK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20LMPN/L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2024-03-02</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溶解性总固体</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2024040007-L0104QK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4L mg/L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2024-03-02</w:t>
            </w:r>
          </w:p>
        </w:tc>
        <w:tc>
          <w:tcPr>
            <w:tcW w:w="2019"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溶解性总固体</w:t>
            </w:r>
          </w:p>
        </w:tc>
        <w:tc>
          <w:tcPr>
            <w:tcW w:w="230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2024040007-L0108QK</w:t>
            </w:r>
          </w:p>
        </w:tc>
        <w:tc>
          <w:tcPr>
            <w:tcW w:w="1638"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4L mg/L</w:t>
            </w:r>
          </w:p>
        </w:tc>
        <w:tc>
          <w:tcPr>
            <w:tcW w:w="1477" w:type="dxa"/>
            <w:tcBorders>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39" w:type="dxa"/>
            <w:tcBorders>
              <w:left w:val="single" w:color="000000" w:sz="2" w:space="0"/>
              <w:bottom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备注</w:t>
            </w:r>
          </w:p>
        </w:tc>
        <w:tc>
          <w:tcPr>
            <w:tcW w:w="7442" w:type="dxa"/>
            <w:gridSpan w:val="4"/>
            <w:tcBorders>
              <w:bottom w:val="single" w:color="000000" w:sz="2" w:space="0"/>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当检测结果低于检出限时，以“检出限+L”表示。</w:t>
            </w:r>
          </w:p>
        </w:tc>
      </w:tr>
    </w:tbl>
    <w:p>
      <w:pPr>
        <w:ind w:firstLine="480"/>
        <w:rPr>
          <w:rFonts w:eastAsia="黑体"/>
          <w:szCs w:val="32"/>
        </w:rPr>
      </w:pPr>
      <w:r>
        <w:rPr>
          <w:rFonts w:eastAsia="黑体"/>
          <w:szCs w:val="32"/>
        </w:rPr>
        <w:br w:type="page"/>
      </w:r>
    </w:p>
    <w:p>
      <w:pPr>
        <w:spacing w:before="28" w:line="218" w:lineRule="auto"/>
        <w:ind w:left="669" w:firstLine="480"/>
        <w:jc w:val="center"/>
        <w:rPr>
          <w:rFonts w:eastAsia="黑体"/>
          <w:szCs w:val="32"/>
        </w:rPr>
      </w:pPr>
      <w:r>
        <w:rPr>
          <w:rFonts w:eastAsia="黑体"/>
          <w:szCs w:val="32"/>
        </w:rPr>
        <w:t>8.4-</w:t>
      </w:r>
      <w:r>
        <w:rPr>
          <w:rFonts w:hint="eastAsia" w:eastAsia="黑体"/>
          <w:szCs w:val="32"/>
        </w:rPr>
        <w:t>2</w:t>
      </w:r>
      <w:r>
        <w:rPr>
          <w:rFonts w:eastAsia="黑体"/>
          <w:szCs w:val="32"/>
        </w:rPr>
        <w:t xml:space="preserve"> 精密度（平行样）质控结果一览表</w:t>
      </w:r>
    </w:p>
    <w:tbl>
      <w:tblPr>
        <w:tblStyle w:val="86"/>
        <w:tblW w:w="8769"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5"/>
        <w:gridCol w:w="2377"/>
        <w:gridCol w:w="1950"/>
        <w:gridCol w:w="1650"/>
        <w:gridCol w:w="1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tcBorders>
              <w:top w:val="single" w:color="000000" w:sz="2" w:space="0"/>
              <w:lef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检测项目</w:t>
            </w:r>
          </w:p>
        </w:tc>
        <w:tc>
          <w:tcPr>
            <w:tcW w:w="2377" w:type="dxa"/>
            <w:tcBorders>
              <w:top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样品编码</w:t>
            </w:r>
          </w:p>
        </w:tc>
        <w:tc>
          <w:tcPr>
            <w:tcW w:w="1950" w:type="dxa"/>
            <w:tcBorders>
              <w:top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检测结果</w:t>
            </w:r>
          </w:p>
        </w:tc>
        <w:tc>
          <w:tcPr>
            <w:tcW w:w="1650" w:type="dxa"/>
            <w:tcBorders>
              <w:top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相对偏差</w:t>
            </w:r>
          </w:p>
        </w:tc>
        <w:tc>
          <w:tcPr>
            <w:tcW w:w="1477" w:type="dxa"/>
            <w:tcBorders>
              <w:top w:val="single" w:color="000000" w:sz="2" w:space="0"/>
              <w:right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restart"/>
            <w:tcBorders>
              <w:left w:val="single" w:color="000000" w:sz="2" w:space="0"/>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阴离子表面活性剂</w:t>
            </w: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2024040007-L0101</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0.06 mg/L</w:t>
            </w:r>
          </w:p>
        </w:tc>
        <w:tc>
          <w:tcPr>
            <w:tcW w:w="1650" w:type="dxa"/>
            <w:vMerge w:val="restart"/>
            <w:tcBorders>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0.0%</w:t>
            </w:r>
          </w:p>
        </w:tc>
        <w:tc>
          <w:tcPr>
            <w:tcW w:w="1477" w:type="dxa"/>
            <w:vMerge w:val="restart"/>
            <w:tcBorders>
              <w:bottom w:val="nil"/>
              <w:right w:val="single" w:color="000000" w:sz="2" w:space="0"/>
            </w:tcBorders>
            <w:vAlign w:val="center"/>
          </w:tcPr>
          <w:p>
            <w:pPr>
              <w:widowControl/>
              <w:spacing w:line="240" w:lineRule="auto"/>
              <w:ind w:firstLine="0" w:firstLineChars="0"/>
              <w:jc w:val="center"/>
              <w:rPr>
                <w:bCs/>
                <w:color w:val="000000"/>
                <w:sz w:val="18"/>
                <w:szCs w:val="18"/>
              </w:rPr>
            </w:pPr>
          </w:p>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2024040007-L0101_平行</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0.06 mg/L</w:t>
            </w:r>
          </w:p>
        </w:tc>
        <w:tc>
          <w:tcPr>
            <w:tcW w:w="1650" w:type="dxa"/>
            <w:vMerge w:val="continue"/>
            <w:tcBorders>
              <w:top w:val="nil"/>
            </w:tcBorders>
            <w:vAlign w:val="center"/>
          </w:tcPr>
          <w:p>
            <w:pPr>
              <w:widowControl/>
              <w:spacing w:line="240" w:lineRule="auto"/>
              <w:ind w:firstLine="0" w:firstLineChars="0"/>
              <w:jc w:val="center"/>
              <w:rPr>
                <w:bCs/>
                <w:color w:val="000000"/>
                <w:sz w:val="18"/>
                <w:szCs w:val="18"/>
              </w:rPr>
            </w:pPr>
          </w:p>
        </w:tc>
        <w:tc>
          <w:tcPr>
            <w:tcW w:w="1477" w:type="dxa"/>
            <w:vMerge w:val="continue"/>
            <w:tcBorders>
              <w:top w:val="nil"/>
              <w:right w:val="single" w:color="000000" w:sz="2" w:space="0"/>
            </w:tcBorders>
            <w:vAlign w:val="center"/>
          </w:tcPr>
          <w:p>
            <w:pPr>
              <w:widowControl/>
              <w:spacing w:line="240" w:lineRule="auto"/>
              <w:ind w:firstLine="0" w:firstLineChars="0"/>
              <w:jc w:val="center"/>
              <w:rPr>
                <w:bCs/>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2024040007-L0104</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0.08 mg/L</w:t>
            </w:r>
          </w:p>
        </w:tc>
        <w:tc>
          <w:tcPr>
            <w:tcW w:w="1650" w:type="dxa"/>
            <w:vMerge w:val="restart"/>
            <w:tcBorders>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6.7%</w:t>
            </w:r>
          </w:p>
        </w:tc>
        <w:tc>
          <w:tcPr>
            <w:tcW w:w="1477" w:type="dxa"/>
            <w:vMerge w:val="restart"/>
            <w:tcBorders>
              <w:bottom w:val="nil"/>
              <w:right w:val="single" w:color="000000" w:sz="2" w:space="0"/>
            </w:tcBorders>
            <w:vAlign w:val="center"/>
          </w:tcPr>
          <w:p>
            <w:pPr>
              <w:widowControl/>
              <w:spacing w:line="240" w:lineRule="auto"/>
              <w:ind w:firstLine="0" w:firstLineChars="0"/>
              <w:jc w:val="center"/>
              <w:rPr>
                <w:bCs/>
                <w:color w:val="000000"/>
                <w:sz w:val="18"/>
                <w:szCs w:val="18"/>
              </w:rPr>
            </w:pPr>
          </w:p>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2024040007-L0104P</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0.07 mg/L</w:t>
            </w:r>
          </w:p>
        </w:tc>
        <w:tc>
          <w:tcPr>
            <w:tcW w:w="1650" w:type="dxa"/>
            <w:vMerge w:val="continue"/>
            <w:tcBorders>
              <w:top w:val="nil"/>
            </w:tcBorders>
            <w:vAlign w:val="center"/>
          </w:tcPr>
          <w:p>
            <w:pPr>
              <w:widowControl/>
              <w:spacing w:line="240" w:lineRule="auto"/>
              <w:ind w:firstLine="0" w:firstLineChars="0"/>
              <w:jc w:val="center"/>
              <w:rPr>
                <w:bCs/>
                <w:color w:val="000000"/>
                <w:sz w:val="18"/>
                <w:szCs w:val="18"/>
              </w:rPr>
            </w:pPr>
          </w:p>
        </w:tc>
        <w:tc>
          <w:tcPr>
            <w:tcW w:w="1477" w:type="dxa"/>
            <w:vMerge w:val="continue"/>
            <w:tcBorders>
              <w:top w:val="nil"/>
              <w:right w:val="single" w:color="000000" w:sz="2" w:space="0"/>
            </w:tcBorders>
            <w:vAlign w:val="center"/>
          </w:tcPr>
          <w:p>
            <w:pPr>
              <w:widowControl/>
              <w:spacing w:line="240" w:lineRule="auto"/>
              <w:ind w:firstLine="0" w:firstLineChars="0"/>
              <w:jc w:val="center"/>
              <w:rPr>
                <w:bCs/>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2024040007-L0105</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0.07 mg/L</w:t>
            </w:r>
          </w:p>
        </w:tc>
        <w:tc>
          <w:tcPr>
            <w:tcW w:w="1650" w:type="dxa"/>
            <w:vMerge w:val="restart"/>
            <w:vAlign w:val="center"/>
          </w:tcPr>
          <w:p>
            <w:pPr>
              <w:widowControl/>
              <w:spacing w:line="240" w:lineRule="auto"/>
              <w:ind w:firstLine="0" w:firstLineChars="0"/>
              <w:jc w:val="center"/>
              <w:rPr>
                <w:bCs/>
                <w:color w:val="000000"/>
                <w:sz w:val="18"/>
                <w:szCs w:val="18"/>
              </w:rPr>
            </w:pPr>
            <w:r>
              <w:rPr>
                <w:rFonts w:hint="eastAsia"/>
                <w:bCs/>
                <w:color w:val="000000"/>
                <w:sz w:val="18"/>
                <w:szCs w:val="18"/>
              </w:rPr>
              <w:t>0.0%</w:t>
            </w:r>
          </w:p>
        </w:tc>
        <w:tc>
          <w:tcPr>
            <w:tcW w:w="1477" w:type="dxa"/>
            <w:vMerge w:val="restart"/>
            <w:tcBorders>
              <w:bottom w:val="nil"/>
              <w:right w:val="single" w:color="000000" w:sz="2" w:space="0"/>
            </w:tcBorders>
            <w:vAlign w:val="center"/>
          </w:tcPr>
          <w:p>
            <w:pPr>
              <w:widowControl/>
              <w:spacing w:line="240" w:lineRule="auto"/>
              <w:ind w:firstLine="0" w:firstLineChars="0"/>
              <w:jc w:val="center"/>
              <w:rPr>
                <w:bCs/>
                <w:color w:val="000000"/>
                <w:sz w:val="18"/>
                <w:szCs w:val="18"/>
              </w:rPr>
            </w:pPr>
          </w:p>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2024040007-L0105_平行</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0.07 mg/L</w:t>
            </w:r>
          </w:p>
        </w:tc>
        <w:tc>
          <w:tcPr>
            <w:tcW w:w="1650" w:type="dxa"/>
            <w:vMerge w:val="continue"/>
            <w:vAlign w:val="center"/>
          </w:tcPr>
          <w:p>
            <w:pPr>
              <w:widowControl/>
              <w:spacing w:line="240" w:lineRule="auto"/>
              <w:ind w:firstLine="0" w:firstLineChars="0"/>
              <w:jc w:val="center"/>
              <w:rPr>
                <w:bCs/>
                <w:color w:val="000000"/>
                <w:sz w:val="18"/>
                <w:szCs w:val="18"/>
              </w:rPr>
            </w:pPr>
          </w:p>
        </w:tc>
        <w:tc>
          <w:tcPr>
            <w:tcW w:w="1477" w:type="dxa"/>
            <w:vMerge w:val="continue"/>
            <w:tcBorders>
              <w:top w:val="nil"/>
              <w:right w:val="single" w:color="000000" w:sz="2" w:space="0"/>
            </w:tcBorders>
            <w:vAlign w:val="center"/>
          </w:tcPr>
          <w:p>
            <w:pPr>
              <w:widowControl/>
              <w:spacing w:line="240" w:lineRule="auto"/>
              <w:ind w:firstLine="0" w:firstLineChars="0"/>
              <w:jc w:val="center"/>
              <w:rPr>
                <w:bCs/>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2024040007-L0108</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0.06 mg/L</w:t>
            </w:r>
          </w:p>
        </w:tc>
        <w:tc>
          <w:tcPr>
            <w:tcW w:w="1650" w:type="dxa"/>
            <w:vMerge w:val="restart"/>
            <w:tcBorders>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7.7%</w:t>
            </w:r>
          </w:p>
        </w:tc>
        <w:tc>
          <w:tcPr>
            <w:tcW w:w="1477" w:type="dxa"/>
            <w:vMerge w:val="restart"/>
            <w:tcBorders>
              <w:bottom w:val="nil"/>
              <w:right w:val="single" w:color="000000" w:sz="2" w:space="0"/>
            </w:tcBorders>
            <w:vAlign w:val="center"/>
          </w:tcPr>
          <w:p>
            <w:pPr>
              <w:widowControl/>
              <w:spacing w:line="240" w:lineRule="auto"/>
              <w:ind w:firstLine="0" w:firstLineChars="0"/>
              <w:jc w:val="center"/>
              <w:rPr>
                <w:bCs/>
                <w:color w:val="000000"/>
                <w:sz w:val="18"/>
                <w:szCs w:val="18"/>
              </w:rPr>
            </w:pPr>
          </w:p>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2024040007-L0108P</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0.07 mg/L</w:t>
            </w:r>
          </w:p>
        </w:tc>
        <w:tc>
          <w:tcPr>
            <w:tcW w:w="1650" w:type="dxa"/>
            <w:vMerge w:val="continue"/>
            <w:tcBorders>
              <w:top w:val="nil"/>
            </w:tcBorders>
            <w:vAlign w:val="center"/>
          </w:tcPr>
          <w:p>
            <w:pPr>
              <w:widowControl/>
              <w:spacing w:line="240" w:lineRule="auto"/>
              <w:ind w:firstLine="0" w:firstLineChars="0"/>
              <w:jc w:val="center"/>
              <w:rPr>
                <w:bCs/>
                <w:color w:val="000000"/>
                <w:sz w:val="18"/>
                <w:szCs w:val="18"/>
              </w:rPr>
            </w:pPr>
          </w:p>
        </w:tc>
        <w:tc>
          <w:tcPr>
            <w:tcW w:w="1477" w:type="dxa"/>
            <w:vMerge w:val="continue"/>
            <w:tcBorders>
              <w:top w:val="nil"/>
              <w:right w:val="single" w:color="000000" w:sz="2" w:space="0"/>
            </w:tcBorders>
            <w:vAlign w:val="center"/>
          </w:tcPr>
          <w:p>
            <w:pPr>
              <w:widowControl/>
              <w:spacing w:line="240" w:lineRule="auto"/>
              <w:ind w:firstLine="0" w:firstLineChars="0"/>
              <w:jc w:val="center"/>
              <w:rPr>
                <w:bCs/>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restart"/>
            <w:tcBorders>
              <w:left w:val="single" w:color="000000" w:sz="2" w:space="0"/>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五日生化需氧量</w:t>
            </w: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2024040007-L0101</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9. 1 mg/L</w:t>
            </w:r>
          </w:p>
        </w:tc>
        <w:tc>
          <w:tcPr>
            <w:tcW w:w="1650" w:type="dxa"/>
            <w:vMerge w:val="restart"/>
            <w:tcBorders>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0.6%</w:t>
            </w:r>
          </w:p>
        </w:tc>
        <w:tc>
          <w:tcPr>
            <w:tcW w:w="1477" w:type="dxa"/>
            <w:vMerge w:val="restart"/>
            <w:tcBorders>
              <w:bottom w:val="nil"/>
              <w:right w:val="single" w:color="000000" w:sz="2" w:space="0"/>
            </w:tcBorders>
            <w:vAlign w:val="center"/>
          </w:tcPr>
          <w:p>
            <w:pPr>
              <w:widowControl/>
              <w:spacing w:line="240" w:lineRule="auto"/>
              <w:ind w:firstLine="0" w:firstLineChars="0"/>
              <w:jc w:val="center"/>
              <w:rPr>
                <w:bCs/>
                <w:color w:val="000000"/>
                <w:sz w:val="18"/>
                <w:szCs w:val="18"/>
              </w:rPr>
            </w:pPr>
          </w:p>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2024040007-L0101_平行</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9.0 mg/L</w:t>
            </w:r>
          </w:p>
        </w:tc>
        <w:tc>
          <w:tcPr>
            <w:tcW w:w="1650" w:type="dxa"/>
            <w:vMerge w:val="continue"/>
            <w:tcBorders>
              <w:top w:val="nil"/>
            </w:tcBorders>
            <w:vAlign w:val="center"/>
          </w:tcPr>
          <w:p>
            <w:pPr>
              <w:widowControl/>
              <w:spacing w:line="240" w:lineRule="auto"/>
              <w:ind w:firstLine="0" w:firstLineChars="0"/>
              <w:jc w:val="center"/>
              <w:rPr>
                <w:bCs/>
                <w:color w:val="000000"/>
                <w:sz w:val="18"/>
                <w:szCs w:val="18"/>
              </w:rPr>
            </w:pPr>
          </w:p>
        </w:tc>
        <w:tc>
          <w:tcPr>
            <w:tcW w:w="1477" w:type="dxa"/>
            <w:vMerge w:val="continue"/>
            <w:tcBorders>
              <w:top w:val="nil"/>
              <w:right w:val="single" w:color="000000" w:sz="2" w:space="0"/>
            </w:tcBorders>
            <w:vAlign w:val="center"/>
          </w:tcPr>
          <w:p>
            <w:pPr>
              <w:widowControl/>
              <w:spacing w:line="240" w:lineRule="auto"/>
              <w:ind w:firstLine="0" w:firstLineChars="0"/>
              <w:jc w:val="center"/>
              <w:rPr>
                <w:bCs/>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nil"/>
            </w:tcBorders>
            <w:vAlign w:val="center"/>
          </w:tcPr>
          <w:p>
            <w:pPr>
              <w:widowControl/>
              <w:spacing w:line="240" w:lineRule="auto"/>
              <w:ind w:firstLine="0" w:firstLineChars="0"/>
              <w:jc w:val="center"/>
              <w:rPr>
                <w:bCs/>
                <w:color w:val="000000"/>
                <w:sz w:val="18"/>
                <w:szCs w:val="18"/>
              </w:rPr>
            </w:pPr>
          </w:p>
        </w:tc>
        <w:tc>
          <w:tcPr>
            <w:tcW w:w="2377"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2024040007-L0105</w:t>
            </w:r>
          </w:p>
        </w:tc>
        <w:tc>
          <w:tcPr>
            <w:tcW w:w="1950" w:type="dxa"/>
            <w:vAlign w:val="center"/>
          </w:tcPr>
          <w:p>
            <w:pPr>
              <w:widowControl/>
              <w:spacing w:line="240" w:lineRule="auto"/>
              <w:ind w:firstLine="0" w:firstLineChars="0"/>
              <w:jc w:val="center"/>
              <w:rPr>
                <w:bCs/>
                <w:color w:val="000000"/>
                <w:sz w:val="18"/>
                <w:szCs w:val="18"/>
              </w:rPr>
            </w:pPr>
            <w:r>
              <w:rPr>
                <w:rFonts w:hint="eastAsia"/>
                <w:bCs/>
                <w:color w:val="000000"/>
                <w:sz w:val="18"/>
                <w:szCs w:val="18"/>
              </w:rPr>
              <w:t>8.5 mg/L</w:t>
            </w:r>
          </w:p>
        </w:tc>
        <w:tc>
          <w:tcPr>
            <w:tcW w:w="1650" w:type="dxa"/>
            <w:vMerge w:val="restart"/>
            <w:tcBorders>
              <w:bottom w:val="nil"/>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1.2%</w:t>
            </w:r>
          </w:p>
        </w:tc>
        <w:tc>
          <w:tcPr>
            <w:tcW w:w="1477" w:type="dxa"/>
            <w:vMerge w:val="restart"/>
            <w:tcBorders>
              <w:bottom w:val="nil"/>
              <w:right w:val="single" w:color="000000" w:sz="2" w:space="0"/>
            </w:tcBorders>
            <w:vAlign w:val="center"/>
          </w:tcPr>
          <w:p>
            <w:pPr>
              <w:widowControl/>
              <w:spacing w:line="240" w:lineRule="auto"/>
              <w:ind w:firstLine="0" w:firstLineChars="0"/>
              <w:jc w:val="center"/>
              <w:rPr>
                <w:bCs/>
                <w:color w:val="000000"/>
                <w:sz w:val="18"/>
                <w:szCs w:val="18"/>
              </w:rPr>
            </w:pPr>
          </w:p>
          <w:p>
            <w:pPr>
              <w:widowControl/>
              <w:spacing w:line="240" w:lineRule="auto"/>
              <w:ind w:firstLine="0" w:firstLineChars="0"/>
              <w:jc w:val="center"/>
              <w:rPr>
                <w:bCs/>
                <w:color w:val="000000"/>
                <w:sz w:val="18"/>
                <w:szCs w:val="18"/>
              </w:rPr>
            </w:pPr>
            <w:r>
              <w:rPr>
                <w:rFonts w:hint="eastAsia"/>
                <w:bCs/>
                <w:color w:val="000000"/>
                <w:sz w:val="18"/>
                <w:szCs w:val="18"/>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315" w:type="dxa"/>
            <w:vMerge w:val="continue"/>
            <w:tcBorders>
              <w:top w:val="nil"/>
              <w:left w:val="single" w:color="000000" w:sz="2" w:space="0"/>
              <w:bottom w:val="single" w:color="000000" w:sz="2" w:space="0"/>
            </w:tcBorders>
            <w:vAlign w:val="center"/>
          </w:tcPr>
          <w:p>
            <w:pPr>
              <w:widowControl/>
              <w:spacing w:line="240" w:lineRule="auto"/>
              <w:ind w:firstLine="0" w:firstLineChars="0"/>
              <w:jc w:val="center"/>
              <w:rPr>
                <w:bCs/>
                <w:color w:val="000000"/>
                <w:sz w:val="18"/>
                <w:szCs w:val="18"/>
              </w:rPr>
            </w:pPr>
          </w:p>
        </w:tc>
        <w:tc>
          <w:tcPr>
            <w:tcW w:w="2377" w:type="dxa"/>
            <w:tcBorders>
              <w:bottom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2024040007-L0105_平行</w:t>
            </w:r>
          </w:p>
        </w:tc>
        <w:tc>
          <w:tcPr>
            <w:tcW w:w="1950" w:type="dxa"/>
            <w:tcBorders>
              <w:bottom w:val="single" w:color="000000" w:sz="2" w:space="0"/>
            </w:tcBorders>
            <w:vAlign w:val="center"/>
          </w:tcPr>
          <w:p>
            <w:pPr>
              <w:widowControl/>
              <w:spacing w:line="240" w:lineRule="auto"/>
              <w:ind w:firstLine="0" w:firstLineChars="0"/>
              <w:jc w:val="center"/>
              <w:rPr>
                <w:bCs/>
                <w:color w:val="000000"/>
                <w:sz w:val="18"/>
                <w:szCs w:val="18"/>
              </w:rPr>
            </w:pPr>
            <w:r>
              <w:rPr>
                <w:rFonts w:hint="eastAsia"/>
                <w:bCs/>
                <w:color w:val="000000"/>
                <w:sz w:val="18"/>
                <w:szCs w:val="18"/>
              </w:rPr>
              <w:t>8.3 mg/L</w:t>
            </w:r>
          </w:p>
        </w:tc>
        <w:tc>
          <w:tcPr>
            <w:tcW w:w="1650" w:type="dxa"/>
            <w:vMerge w:val="continue"/>
            <w:tcBorders>
              <w:top w:val="nil"/>
              <w:bottom w:val="single" w:color="000000" w:sz="2" w:space="0"/>
            </w:tcBorders>
            <w:vAlign w:val="center"/>
          </w:tcPr>
          <w:p>
            <w:pPr>
              <w:widowControl/>
              <w:spacing w:line="240" w:lineRule="auto"/>
              <w:ind w:firstLine="0" w:firstLineChars="0"/>
              <w:jc w:val="center"/>
              <w:rPr>
                <w:bCs/>
                <w:color w:val="000000"/>
                <w:sz w:val="18"/>
                <w:szCs w:val="18"/>
              </w:rPr>
            </w:pPr>
          </w:p>
        </w:tc>
        <w:tc>
          <w:tcPr>
            <w:tcW w:w="1477" w:type="dxa"/>
            <w:vMerge w:val="continue"/>
            <w:tcBorders>
              <w:top w:val="nil"/>
              <w:bottom w:val="single" w:color="000000" w:sz="2" w:space="0"/>
              <w:right w:val="single" w:color="000000" w:sz="2" w:space="0"/>
            </w:tcBorders>
            <w:vAlign w:val="center"/>
          </w:tcPr>
          <w:p>
            <w:pPr>
              <w:widowControl/>
              <w:spacing w:line="240" w:lineRule="auto"/>
              <w:ind w:firstLine="0" w:firstLineChars="0"/>
              <w:jc w:val="center"/>
              <w:rPr>
                <w:bCs/>
                <w:color w:val="000000"/>
                <w:sz w:val="18"/>
                <w:szCs w:val="18"/>
              </w:rPr>
            </w:pPr>
          </w:p>
        </w:tc>
      </w:tr>
    </w:tbl>
    <w:p>
      <w:pPr>
        <w:spacing w:before="28" w:line="218" w:lineRule="auto"/>
        <w:ind w:left="669" w:firstLine="480"/>
        <w:jc w:val="center"/>
        <w:rPr>
          <w:rFonts w:eastAsia="黑体"/>
          <w:szCs w:val="32"/>
        </w:rPr>
      </w:pPr>
      <w:r>
        <w:rPr>
          <w:rFonts w:eastAsia="黑体"/>
          <w:szCs w:val="32"/>
        </w:rPr>
        <w:t>8.4-</w:t>
      </w:r>
      <w:r>
        <w:rPr>
          <w:rFonts w:hint="eastAsia" w:eastAsia="黑体"/>
          <w:szCs w:val="32"/>
        </w:rPr>
        <w:t>3 准确度（密码标样）质控结果一览表</w:t>
      </w:r>
    </w:p>
    <w:tbl>
      <w:tblPr>
        <w:tblStyle w:val="86"/>
        <w:tblW w:w="8758" w:type="dxa"/>
        <w:tblInd w:w="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1"/>
        <w:gridCol w:w="1615"/>
        <w:gridCol w:w="1327"/>
        <w:gridCol w:w="1443"/>
        <w:gridCol w:w="1430"/>
        <w:gridCol w:w="1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731" w:type="dxa"/>
            <w:tcBorders>
              <w:top w:val="single" w:color="000000" w:sz="2" w:space="0"/>
              <w:left w:val="single" w:color="000000" w:sz="2" w:space="0"/>
            </w:tcBorders>
          </w:tcPr>
          <w:p>
            <w:pPr>
              <w:pStyle w:val="83"/>
              <w:jc w:val="center"/>
              <w:rPr>
                <w:rFonts w:ascii="Times New Roman" w:hAnsi="Times New Roman"/>
                <w:szCs w:val="21"/>
              </w:rPr>
            </w:pPr>
            <w:r>
              <w:rPr>
                <w:rFonts w:hint="eastAsia" w:ascii="Times New Roman" w:hAnsi="Times New Roman"/>
                <w:szCs w:val="21"/>
              </w:rPr>
              <w:t>检测项目</w:t>
            </w:r>
          </w:p>
        </w:tc>
        <w:tc>
          <w:tcPr>
            <w:tcW w:w="1615" w:type="dxa"/>
            <w:tcBorders>
              <w:top w:val="single" w:color="000000" w:sz="2" w:space="0"/>
            </w:tcBorders>
          </w:tcPr>
          <w:p>
            <w:pPr>
              <w:pStyle w:val="83"/>
              <w:jc w:val="center"/>
              <w:rPr>
                <w:rFonts w:ascii="Times New Roman" w:hAnsi="Times New Roman"/>
                <w:szCs w:val="21"/>
              </w:rPr>
            </w:pPr>
            <w:r>
              <w:rPr>
                <w:rFonts w:hint="eastAsia" w:ascii="Times New Roman" w:hAnsi="Times New Roman"/>
                <w:szCs w:val="21"/>
              </w:rPr>
              <w:t>样品编码</w:t>
            </w:r>
          </w:p>
        </w:tc>
        <w:tc>
          <w:tcPr>
            <w:tcW w:w="1327" w:type="dxa"/>
            <w:tcBorders>
              <w:top w:val="single" w:color="000000" w:sz="2" w:space="0"/>
            </w:tcBorders>
          </w:tcPr>
          <w:p>
            <w:pPr>
              <w:pStyle w:val="83"/>
              <w:jc w:val="center"/>
              <w:rPr>
                <w:rFonts w:ascii="Times New Roman" w:hAnsi="Times New Roman"/>
                <w:szCs w:val="21"/>
              </w:rPr>
            </w:pPr>
            <w:r>
              <w:rPr>
                <w:rFonts w:hint="eastAsia" w:ascii="Times New Roman" w:hAnsi="Times New Roman"/>
                <w:szCs w:val="21"/>
              </w:rPr>
              <w:t>测定值</w:t>
            </w:r>
          </w:p>
        </w:tc>
        <w:tc>
          <w:tcPr>
            <w:tcW w:w="1443" w:type="dxa"/>
            <w:tcBorders>
              <w:top w:val="single" w:color="000000" w:sz="2" w:space="0"/>
              <w:right w:val="single" w:color="000000" w:sz="2" w:space="0"/>
            </w:tcBorders>
          </w:tcPr>
          <w:p>
            <w:pPr>
              <w:pStyle w:val="83"/>
              <w:jc w:val="center"/>
              <w:rPr>
                <w:rFonts w:ascii="Times New Roman" w:hAnsi="Times New Roman"/>
                <w:szCs w:val="21"/>
              </w:rPr>
            </w:pPr>
            <w:r>
              <w:rPr>
                <w:rFonts w:hint="eastAsia" w:ascii="Times New Roman" w:hAnsi="Times New Roman"/>
                <w:szCs w:val="21"/>
              </w:rPr>
              <w:t>保证值</w:t>
            </w:r>
          </w:p>
        </w:tc>
        <w:tc>
          <w:tcPr>
            <w:tcW w:w="1430" w:type="dxa"/>
            <w:tcBorders>
              <w:top w:val="single" w:color="000000" w:sz="2" w:space="0"/>
              <w:left w:val="single" w:color="000000" w:sz="2" w:space="0"/>
            </w:tcBorders>
          </w:tcPr>
          <w:p>
            <w:pPr>
              <w:pStyle w:val="83"/>
              <w:jc w:val="center"/>
              <w:rPr>
                <w:rFonts w:ascii="Times New Roman" w:hAnsi="Times New Roman"/>
                <w:szCs w:val="21"/>
              </w:rPr>
            </w:pPr>
            <w:r>
              <w:rPr>
                <w:rFonts w:hint="eastAsia" w:ascii="Times New Roman" w:hAnsi="Times New Roman"/>
                <w:szCs w:val="21"/>
              </w:rPr>
              <w:t>不确定度</w:t>
            </w:r>
          </w:p>
        </w:tc>
        <w:tc>
          <w:tcPr>
            <w:tcW w:w="1212" w:type="dxa"/>
            <w:tcBorders>
              <w:top w:val="single" w:color="000000" w:sz="2" w:space="0"/>
              <w:right w:val="single" w:color="000000" w:sz="2" w:space="0"/>
            </w:tcBorders>
          </w:tcPr>
          <w:p>
            <w:pPr>
              <w:pStyle w:val="83"/>
              <w:jc w:val="center"/>
              <w:rPr>
                <w:rFonts w:ascii="Times New Roman" w:hAnsi="Times New Roman"/>
                <w:szCs w:val="21"/>
              </w:rPr>
            </w:pPr>
            <w:r>
              <w:rPr>
                <w:rFonts w:hint="eastAsia" w:ascii="Times New Roman" w:hAnsi="Times New Roman"/>
                <w:szCs w:val="21"/>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731" w:type="dxa"/>
            <w:tcBorders>
              <w:left w:val="single" w:color="000000" w:sz="2" w:space="0"/>
            </w:tcBorders>
          </w:tcPr>
          <w:p>
            <w:pPr>
              <w:pStyle w:val="83"/>
              <w:jc w:val="center"/>
              <w:rPr>
                <w:rFonts w:ascii="Times New Roman" w:hAnsi="Times New Roman"/>
                <w:szCs w:val="21"/>
              </w:rPr>
            </w:pPr>
            <w:r>
              <w:rPr>
                <w:rFonts w:hint="eastAsia" w:ascii="Times New Roman" w:hAnsi="Times New Roman"/>
                <w:szCs w:val="21"/>
              </w:rPr>
              <w:t>阴离子表面活性剂</w:t>
            </w:r>
          </w:p>
        </w:tc>
        <w:tc>
          <w:tcPr>
            <w:tcW w:w="1615" w:type="dxa"/>
          </w:tcPr>
          <w:p>
            <w:pPr>
              <w:pStyle w:val="83"/>
              <w:jc w:val="center"/>
              <w:rPr>
                <w:rFonts w:ascii="Times New Roman" w:hAnsi="Times New Roman"/>
                <w:szCs w:val="21"/>
              </w:rPr>
            </w:pPr>
            <w:r>
              <w:rPr>
                <w:rFonts w:hint="eastAsia" w:ascii="Times New Roman" w:hAnsi="Times New Roman"/>
                <w:szCs w:val="21"/>
              </w:rPr>
              <w:t>230925-005-002</w:t>
            </w:r>
          </w:p>
        </w:tc>
        <w:tc>
          <w:tcPr>
            <w:tcW w:w="1327" w:type="dxa"/>
          </w:tcPr>
          <w:p>
            <w:pPr>
              <w:pStyle w:val="83"/>
              <w:jc w:val="center"/>
              <w:rPr>
                <w:rFonts w:ascii="Times New Roman" w:hAnsi="Times New Roman"/>
                <w:szCs w:val="21"/>
              </w:rPr>
            </w:pPr>
            <w:r>
              <w:rPr>
                <w:rFonts w:hint="eastAsia" w:ascii="Times New Roman" w:hAnsi="Times New Roman"/>
                <w:szCs w:val="21"/>
              </w:rPr>
              <w:t>0.296 mg/L</w:t>
            </w:r>
          </w:p>
        </w:tc>
        <w:tc>
          <w:tcPr>
            <w:tcW w:w="1443" w:type="dxa"/>
            <w:tcBorders>
              <w:right w:val="single" w:color="000000" w:sz="2" w:space="0"/>
            </w:tcBorders>
          </w:tcPr>
          <w:p>
            <w:pPr>
              <w:pStyle w:val="83"/>
              <w:jc w:val="center"/>
              <w:rPr>
                <w:rFonts w:ascii="Times New Roman" w:hAnsi="Times New Roman"/>
                <w:szCs w:val="21"/>
              </w:rPr>
            </w:pPr>
            <w:r>
              <w:rPr>
                <w:rFonts w:hint="eastAsia" w:ascii="Times New Roman" w:hAnsi="Times New Roman"/>
                <w:szCs w:val="21"/>
              </w:rPr>
              <w:t>0.303 mg/L</w:t>
            </w:r>
          </w:p>
        </w:tc>
        <w:tc>
          <w:tcPr>
            <w:tcW w:w="1430" w:type="dxa"/>
            <w:tcBorders>
              <w:left w:val="single" w:color="000000" w:sz="2" w:space="0"/>
            </w:tcBorders>
          </w:tcPr>
          <w:p>
            <w:pPr>
              <w:pStyle w:val="83"/>
              <w:jc w:val="center"/>
              <w:rPr>
                <w:rFonts w:ascii="Times New Roman" w:hAnsi="Times New Roman"/>
                <w:szCs w:val="21"/>
              </w:rPr>
            </w:pPr>
            <w:r>
              <w:rPr>
                <w:rFonts w:hint="eastAsia" w:ascii="Times New Roman" w:hAnsi="Times New Roman"/>
                <w:szCs w:val="21"/>
              </w:rPr>
              <w:t>±0.032 mg/L</w:t>
            </w:r>
          </w:p>
        </w:tc>
        <w:tc>
          <w:tcPr>
            <w:tcW w:w="1212" w:type="dxa"/>
            <w:tcBorders>
              <w:right w:val="single" w:color="000000" w:sz="2" w:space="0"/>
            </w:tcBorders>
          </w:tcPr>
          <w:p>
            <w:pPr>
              <w:pStyle w:val="83"/>
              <w:jc w:val="center"/>
              <w:rPr>
                <w:rFonts w:ascii="Times New Roman" w:hAnsi="Times New Roman"/>
                <w:szCs w:val="21"/>
              </w:rPr>
            </w:pPr>
            <w:r>
              <w:rPr>
                <w:rFonts w:hint="eastAsia" w:ascii="Times New Roman" w:hAnsi="Times New Roman"/>
                <w:szCs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731" w:type="dxa"/>
            <w:tcBorders>
              <w:left w:val="single" w:color="000000" w:sz="2" w:space="0"/>
            </w:tcBorders>
          </w:tcPr>
          <w:p>
            <w:pPr>
              <w:pStyle w:val="83"/>
              <w:jc w:val="center"/>
              <w:rPr>
                <w:rFonts w:ascii="Times New Roman" w:hAnsi="Times New Roman"/>
                <w:szCs w:val="21"/>
              </w:rPr>
            </w:pPr>
            <w:r>
              <w:rPr>
                <w:rFonts w:hint="eastAsia" w:ascii="Times New Roman" w:hAnsi="Times New Roman"/>
                <w:szCs w:val="21"/>
              </w:rPr>
              <w:t>阴离子表面活性剂</w:t>
            </w:r>
          </w:p>
        </w:tc>
        <w:tc>
          <w:tcPr>
            <w:tcW w:w="1615" w:type="dxa"/>
          </w:tcPr>
          <w:p>
            <w:pPr>
              <w:pStyle w:val="83"/>
              <w:jc w:val="center"/>
              <w:rPr>
                <w:rFonts w:ascii="Times New Roman" w:hAnsi="Times New Roman"/>
                <w:szCs w:val="21"/>
              </w:rPr>
            </w:pPr>
            <w:r>
              <w:rPr>
                <w:rFonts w:hint="eastAsia" w:ascii="Times New Roman" w:hAnsi="Times New Roman"/>
                <w:szCs w:val="21"/>
              </w:rPr>
              <w:t>230925-005-002</w:t>
            </w:r>
          </w:p>
        </w:tc>
        <w:tc>
          <w:tcPr>
            <w:tcW w:w="1327" w:type="dxa"/>
          </w:tcPr>
          <w:p>
            <w:pPr>
              <w:pStyle w:val="83"/>
              <w:jc w:val="center"/>
              <w:rPr>
                <w:rFonts w:ascii="Times New Roman" w:hAnsi="Times New Roman"/>
                <w:szCs w:val="21"/>
              </w:rPr>
            </w:pPr>
            <w:r>
              <w:rPr>
                <w:rFonts w:hint="eastAsia" w:ascii="Times New Roman" w:hAnsi="Times New Roman"/>
                <w:szCs w:val="21"/>
              </w:rPr>
              <w:t>0.304 mg/L</w:t>
            </w:r>
          </w:p>
        </w:tc>
        <w:tc>
          <w:tcPr>
            <w:tcW w:w="1443" w:type="dxa"/>
            <w:tcBorders>
              <w:right w:val="single" w:color="000000" w:sz="2" w:space="0"/>
            </w:tcBorders>
          </w:tcPr>
          <w:p>
            <w:pPr>
              <w:pStyle w:val="83"/>
              <w:jc w:val="center"/>
              <w:rPr>
                <w:rFonts w:ascii="Times New Roman" w:hAnsi="Times New Roman"/>
                <w:szCs w:val="21"/>
              </w:rPr>
            </w:pPr>
            <w:r>
              <w:rPr>
                <w:rFonts w:hint="eastAsia" w:ascii="Times New Roman" w:hAnsi="Times New Roman"/>
                <w:szCs w:val="21"/>
              </w:rPr>
              <w:t>0.303 mg/L</w:t>
            </w:r>
          </w:p>
        </w:tc>
        <w:tc>
          <w:tcPr>
            <w:tcW w:w="1430" w:type="dxa"/>
            <w:tcBorders>
              <w:left w:val="single" w:color="000000" w:sz="2" w:space="0"/>
            </w:tcBorders>
          </w:tcPr>
          <w:p>
            <w:pPr>
              <w:pStyle w:val="83"/>
              <w:jc w:val="center"/>
              <w:rPr>
                <w:rFonts w:ascii="Times New Roman" w:hAnsi="Times New Roman"/>
                <w:szCs w:val="21"/>
              </w:rPr>
            </w:pPr>
            <w:r>
              <w:rPr>
                <w:rFonts w:hint="eastAsia" w:ascii="Times New Roman" w:hAnsi="Times New Roman"/>
                <w:szCs w:val="21"/>
              </w:rPr>
              <w:t>±0.032 mg/L</w:t>
            </w:r>
          </w:p>
        </w:tc>
        <w:tc>
          <w:tcPr>
            <w:tcW w:w="1212" w:type="dxa"/>
            <w:tcBorders>
              <w:right w:val="single" w:color="000000" w:sz="2" w:space="0"/>
            </w:tcBorders>
          </w:tcPr>
          <w:p>
            <w:pPr>
              <w:pStyle w:val="83"/>
              <w:jc w:val="center"/>
              <w:rPr>
                <w:rFonts w:ascii="Times New Roman" w:hAnsi="Times New Roman"/>
                <w:szCs w:val="21"/>
              </w:rPr>
            </w:pPr>
            <w:r>
              <w:rPr>
                <w:rFonts w:hint="eastAsia" w:ascii="Times New Roman" w:hAnsi="Times New Roman"/>
                <w:szCs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731" w:type="dxa"/>
            <w:tcBorders>
              <w:left w:val="single" w:color="000000" w:sz="2" w:space="0"/>
            </w:tcBorders>
          </w:tcPr>
          <w:p>
            <w:pPr>
              <w:pStyle w:val="83"/>
              <w:jc w:val="center"/>
              <w:rPr>
                <w:rFonts w:ascii="Times New Roman" w:hAnsi="Times New Roman"/>
                <w:szCs w:val="21"/>
              </w:rPr>
            </w:pPr>
            <w:r>
              <w:rPr>
                <w:rFonts w:hint="eastAsia" w:ascii="Times New Roman" w:hAnsi="Times New Roman"/>
                <w:szCs w:val="21"/>
              </w:rPr>
              <w:t>五日生化需氧量</w:t>
            </w:r>
          </w:p>
        </w:tc>
        <w:tc>
          <w:tcPr>
            <w:tcW w:w="1615" w:type="dxa"/>
          </w:tcPr>
          <w:p>
            <w:pPr>
              <w:pStyle w:val="83"/>
              <w:jc w:val="center"/>
              <w:rPr>
                <w:rFonts w:ascii="Times New Roman" w:hAnsi="Times New Roman"/>
                <w:szCs w:val="21"/>
              </w:rPr>
            </w:pPr>
            <w:r>
              <w:rPr>
                <w:rFonts w:hint="eastAsia" w:ascii="Times New Roman" w:hAnsi="Times New Roman"/>
                <w:szCs w:val="21"/>
              </w:rPr>
              <w:t>230925-004-002</w:t>
            </w:r>
          </w:p>
        </w:tc>
        <w:tc>
          <w:tcPr>
            <w:tcW w:w="1327" w:type="dxa"/>
          </w:tcPr>
          <w:p>
            <w:pPr>
              <w:pStyle w:val="83"/>
              <w:jc w:val="center"/>
              <w:rPr>
                <w:rFonts w:ascii="Times New Roman" w:hAnsi="Times New Roman"/>
                <w:szCs w:val="21"/>
              </w:rPr>
            </w:pPr>
            <w:r>
              <w:rPr>
                <w:rFonts w:hint="eastAsia" w:ascii="Times New Roman" w:hAnsi="Times New Roman"/>
                <w:szCs w:val="21"/>
              </w:rPr>
              <w:t>115 mg/L</w:t>
            </w:r>
          </w:p>
        </w:tc>
        <w:tc>
          <w:tcPr>
            <w:tcW w:w="1443" w:type="dxa"/>
            <w:tcBorders>
              <w:right w:val="single" w:color="000000" w:sz="2" w:space="0"/>
            </w:tcBorders>
          </w:tcPr>
          <w:p>
            <w:pPr>
              <w:pStyle w:val="83"/>
              <w:jc w:val="center"/>
              <w:rPr>
                <w:rFonts w:ascii="Times New Roman" w:hAnsi="Times New Roman"/>
                <w:szCs w:val="21"/>
              </w:rPr>
            </w:pPr>
            <w:r>
              <w:rPr>
                <w:rFonts w:hint="eastAsia" w:ascii="Times New Roman" w:hAnsi="Times New Roman"/>
                <w:szCs w:val="21"/>
              </w:rPr>
              <w:t>114 mg/L</w:t>
            </w:r>
          </w:p>
        </w:tc>
        <w:tc>
          <w:tcPr>
            <w:tcW w:w="1430" w:type="dxa"/>
            <w:tcBorders>
              <w:left w:val="single" w:color="000000" w:sz="2" w:space="0"/>
            </w:tcBorders>
          </w:tcPr>
          <w:p>
            <w:pPr>
              <w:pStyle w:val="83"/>
              <w:jc w:val="center"/>
              <w:rPr>
                <w:rFonts w:ascii="Times New Roman" w:hAnsi="Times New Roman"/>
                <w:szCs w:val="21"/>
              </w:rPr>
            </w:pPr>
            <w:r>
              <w:rPr>
                <w:rFonts w:hint="eastAsia" w:ascii="Times New Roman" w:hAnsi="Times New Roman"/>
                <w:szCs w:val="21"/>
              </w:rPr>
              <w:t>±5 mg/L</w:t>
            </w:r>
          </w:p>
        </w:tc>
        <w:tc>
          <w:tcPr>
            <w:tcW w:w="1212" w:type="dxa"/>
            <w:tcBorders>
              <w:right w:val="single" w:color="000000" w:sz="2" w:space="0"/>
            </w:tcBorders>
          </w:tcPr>
          <w:p>
            <w:pPr>
              <w:pStyle w:val="83"/>
              <w:jc w:val="center"/>
              <w:rPr>
                <w:rFonts w:ascii="Times New Roman" w:hAnsi="Times New Roman"/>
                <w:szCs w:val="21"/>
              </w:rPr>
            </w:pPr>
            <w:r>
              <w:rPr>
                <w:rFonts w:hint="eastAsia" w:ascii="Times New Roman" w:hAnsi="Times New Roman"/>
                <w:szCs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31" w:type="dxa"/>
            <w:tcBorders>
              <w:left w:val="single" w:color="000000" w:sz="2" w:space="0"/>
              <w:bottom w:val="single" w:color="000000" w:sz="2" w:space="0"/>
            </w:tcBorders>
          </w:tcPr>
          <w:p>
            <w:pPr>
              <w:pStyle w:val="83"/>
              <w:jc w:val="center"/>
              <w:rPr>
                <w:rFonts w:ascii="Times New Roman" w:hAnsi="Times New Roman"/>
                <w:szCs w:val="21"/>
              </w:rPr>
            </w:pPr>
            <w:r>
              <w:rPr>
                <w:rFonts w:hint="eastAsia" w:ascii="Times New Roman" w:hAnsi="Times New Roman"/>
                <w:szCs w:val="21"/>
              </w:rPr>
              <w:t>五日生化需氧量</w:t>
            </w:r>
          </w:p>
        </w:tc>
        <w:tc>
          <w:tcPr>
            <w:tcW w:w="1615" w:type="dxa"/>
            <w:tcBorders>
              <w:bottom w:val="single" w:color="000000" w:sz="2" w:space="0"/>
            </w:tcBorders>
          </w:tcPr>
          <w:p>
            <w:pPr>
              <w:pStyle w:val="83"/>
              <w:jc w:val="center"/>
              <w:rPr>
                <w:rFonts w:ascii="Times New Roman" w:hAnsi="Times New Roman"/>
                <w:szCs w:val="21"/>
              </w:rPr>
            </w:pPr>
            <w:r>
              <w:rPr>
                <w:rFonts w:hint="eastAsia" w:ascii="Times New Roman" w:hAnsi="Times New Roman"/>
                <w:szCs w:val="21"/>
              </w:rPr>
              <w:t>230925-004-002</w:t>
            </w:r>
          </w:p>
        </w:tc>
        <w:tc>
          <w:tcPr>
            <w:tcW w:w="1327" w:type="dxa"/>
            <w:tcBorders>
              <w:bottom w:val="single" w:color="000000" w:sz="2" w:space="0"/>
            </w:tcBorders>
          </w:tcPr>
          <w:p>
            <w:pPr>
              <w:pStyle w:val="83"/>
              <w:jc w:val="center"/>
              <w:rPr>
                <w:rFonts w:ascii="Times New Roman" w:hAnsi="Times New Roman"/>
                <w:szCs w:val="21"/>
              </w:rPr>
            </w:pPr>
            <w:r>
              <w:rPr>
                <w:rFonts w:hint="eastAsia" w:ascii="Times New Roman" w:hAnsi="Times New Roman"/>
                <w:szCs w:val="21"/>
              </w:rPr>
              <w:t>112 mg/L</w:t>
            </w:r>
          </w:p>
        </w:tc>
        <w:tc>
          <w:tcPr>
            <w:tcW w:w="1443" w:type="dxa"/>
            <w:tcBorders>
              <w:bottom w:val="single" w:color="000000" w:sz="2" w:space="0"/>
              <w:right w:val="single" w:color="000000" w:sz="2" w:space="0"/>
            </w:tcBorders>
          </w:tcPr>
          <w:p>
            <w:pPr>
              <w:pStyle w:val="83"/>
              <w:jc w:val="center"/>
              <w:rPr>
                <w:rFonts w:ascii="Times New Roman" w:hAnsi="Times New Roman"/>
                <w:szCs w:val="21"/>
              </w:rPr>
            </w:pPr>
            <w:r>
              <w:rPr>
                <w:rFonts w:hint="eastAsia" w:ascii="Times New Roman" w:hAnsi="Times New Roman"/>
                <w:szCs w:val="21"/>
              </w:rPr>
              <w:t>114 mg/L</w:t>
            </w:r>
          </w:p>
        </w:tc>
        <w:tc>
          <w:tcPr>
            <w:tcW w:w="1430" w:type="dxa"/>
            <w:tcBorders>
              <w:left w:val="single" w:color="000000" w:sz="2" w:space="0"/>
              <w:bottom w:val="single" w:color="000000" w:sz="2" w:space="0"/>
            </w:tcBorders>
          </w:tcPr>
          <w:p>
            <w:pPr>
              <w:pStyle w:val="83"/>
              <w:jc w:val="center"/>
              <w:rPr>
                <w:rFonts w:ascii="Times New Roman" w:hAnsi="Times New Roman"/>
                <w:szCs w:val="21"/>
              </w:rPr>
            </w:pPr>
            <w:r>
              <w:rPr>
                <w:rFonts w:hint="eastAsia" w:ascii="Times New Roman" w:hAnsi="Times New Roman"/>
                <w:szCs w:val="21"/>
              </w:rPr>
              <w:t>±5 mg/L</w:t>
            </w:r>
          </w:p>
        </w:tc>
        <w:tc>
          <w:tcPr>
            <w:tcW w:w="1212" w:type="dxa"/>
            <w:tcBorders>
              <w:bottom w:val="single" w:color="000000" w:sz="2" w:space="0"/>
              <w:right w:val="single" w:color="000000" w:sz="2" w:space="0"/>
            </w:tcBorders>
          </w:tcPr>
          <w:p>
            <w:pPr>
              <w:pStyle w:val="83"/>
              <w:jc w:val="center"/>
              <w:rPr>
                <w:rFonts w:ascii="Times New Roman" w:hAnsi="Times New Roman"/>
                <w:szCs w:val="21"/>
              </w:rPr>
            </w:pPr>
            <w:r>
              <w:rPr>
                <w:rFonts w:hint="eastAsia" w:ascii="Times New Roman" w:hAnsi="Times New Roman"/>
                <w:szCs w:val="21"/>
              </w:rPr>
              <w:t>合格</w:t>
            </w:r>
          </w:p>
        </w:tc>
      </w:tr>
    </w:tbl>
    <w:p>
      <w:pPr>
        <w:pStyle w:val="4"/>
      </w:pPr>
      <w:bookmarkStart w:id="1017" w:name="_Toc1468"/>
      <w:r>
        <w:rPr>
          <w:rFonts w:hint="eastAsia"/>
        </w:rPr>
        <w:t>8.5</w:t>
      </w:r>
      <w:r>
        <w:t>气体监测分析过程中的质量保证和质量控制</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7"/>
    </w:p>
    <w:bookmarkEnd w:id="976"/>
    <w:bookmarkEnd w:id="977"/>
    <w:bookmarkEnd w:id="978"/>
    <w:p>
      <w:pPr>
        <w:ind w:firstLine="480"/>
      </w:pPr>
      <w:bookmarkStart w:id="1018" w:name="_Toc31400_WPSOffice_Level3"/>
      <w:bookmarkStart w:id="1019" w:name="_Toc3835_WPSOffice_Level3"/>
      <w:bookmarkStart w:id="1020" w:name="_Toc16631"/>
      <w:bookmarkStart w:id="1021" w:name="_Toc12837"/>
      <w:bookmarkStart w:id="1022" w:name="_Toc25859"/>
      <w:bookmarkStart w:id="1023" w:name="_Toc30943"/>
      <w:bookmarkStart w:id="1024" w:name="_Toc22206"/>
      <w:bookmarkStart w:id="1025" w:name="_Toc32742"/>
      <w:bookmarkStart w:id="1026" w:name="_Toc24031"/>
      <w:bookmarkStart w:id="1027" w:name="_Toc17454"/>
      <w:bookmarkStart w:id="1028" w:name="_Toc8688"/>
      <w:r>
        <w:t>（1） 废气监测质量保证和质量控制按国家环保局发布《环境监测技术规范》、《固定源废气监测技术规范》、《固定污染源监测质量保证与质量控制技术规范（试行）》要求与规定进行全过程质量控制；</w:t>
      </w:r>
    </w:p>
    <w:p>
      <w:pPr>
        <w:ind w:firstLine="480"/>
      </w:pPr>
      <w:r>
        <w:t>（2） 验收监测中及时了解工况，确保监测过程中工况负荷满足有关要求；</w:t>
      </w:r>
    </w:p>
    <w:p>
      <w:pPr>
        <w:ind w:firstLine="480"/>
      </w:pPr>
      <w:r>
        <w:t>（3） 合理布设监测点位，确保各监测点位布设的科学性和代表性；监测分析方法均采用国家有关部门颁布的标准（或推荐）分析方法，监测数据严格实行三级审核制度；</w:t>
      </w:r>
    </w:p>
    <w:p>
      <w:pPr>
        <w:ind w:firstLine="480"/>
      </w:pPr>
      <w:r>
        <w:t>（4） 监测仪器经计量部门检定并在有效使用期内。</w:t>
      </w:r>
    </w:p>
    <w:p>
      <w:pPr>
        <w:ind w:firstLine="480"/>
      </w:pPr>
      <w:r>
        <w:t>（5） 尽量避免被测排放物中共存污染物因子对仪器分析交叉干扰；被测排放物的浓度尽量控制在仪器测试量程的有效范围即仪器量程的30%～70%之间；</w:t>
      </w:r>
    </w:p>
    <w:p>
      <w:pPr>
        <w:ind w:firstLine="480"/>
      </w:pPr>
      <w:r>
        <w:t>（6） 采样仪器在进入现场前对采样器流量计、流速计等进行校核，烟气分析仪器在监测前按监测因子分别用标准气体和流量计进行标定，在监测时确保其采样流量。</w:t>
      </w:r>
    </w:p>
    <w:p>
      <w:pPr>
        <w:ind w:firstLine="480"/>
      </w:pPr>
      <w:r>
        <w:t>校准记录见</w:t>
      </w:r>
      <w:r>
        <w:rPr>
          <w:rFonts w:hint="eastAsia"/>
        </w:rPr>
        <w:t>表</w:t>
      </w:r>
      <w:r>
        <w:t>8.5-1</w:t>
      </w:r>
      <w:r>
        <w:rPr>
          <w:rFonts w:hint="eastAsia"/>
        </w:rPr>
        <w:t>、</w:t>
      </w:r>
    </w:p>
    <w:p>
      <w:pPr>
        <w:ind w:firstLine="480"/>
      </w:pPr>
      <w:r>
        <w:rPr>
          <w:rFonts w:hint="eastAsia"/>
        </w:rPr>
        <w:t>检测项目空白质控表见8.5-2。</w:t>
      </w:r>
    </w:p>
    <w:p>
      <w:pPr>
        <w:pStyle w:val="33"/>
        <w:ind w:firstLine="480"/>
        <w:rPr>
          <w:color w:val="000000"/>
        </w:rPr>
      </w:pPr>
      <w:r>
        <w:t>精密度（平行样）质控结果一览表</w:t>
      </w:r>
      <w:r>
        <w:rPr>
          <w:rFonts w:hint="eastAsia"/>
        </w:rPr>
        <w:t>见8.5-3。</w:t>
      </w:r>
    </w:p>
    <w:p>
      <w:pPr>
        <w:pStyle w:val="48"/>
      </w:pPr>
      <w:r>
        <w:rPr>
          <w:rFonts w:hint="eastAsia"/>
        </w:rPr>
        <w:t>表</w:t>
      </w:r>
      <w:r>
        <w:t>8.5-1 大气采样器流量校准记录表</w:t>
      </w:r>
    </w:p>
    <w:tbl>
      <w:tblPr>
        <w:tblStyle w:val="34"/>
        <w:tblW w:w="91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41"/>
        <w:gridCol w:w="612"/>
        <w:gridCol w:w="1213"/>
        <w:gridCol w:w="1275"/>
        <w:gridCol w:w="912"/>
        <w:gridCol w:w="975"/>
        <w:gridCol w:w="12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校准</w:t>
            </w:r>
          </w:p>
          <w:p>
            <w:pPr>
              <w:widowControl/>
              <w:adjustRightInd w:val="0"/>
              <w:snapToGrid w:val="0"/>
              <w:spacing w:line="240" w:lineRule="auto"/>
              <w:ind w:firstLine="0" w:firstLineChars="0"/>
              <w:jc w:val="center"/>
              <w:rPr>
                <w:sz w:val="21"/>
                <w:szCs w:val="21"/>
              </w:rPr>
            </w:pPr>
            <w:r>
              <w:rPr>
                <w:sz w:val="21"/>
                <w:szCs w:val="21"/>
              </w:rPr>
              <w:t>时间</w:t>
            </w:r>
          </w:p>
        </w:tc>
        <w:tc>
          <w:tcPr>
            <w:tcW w:w="2053" w:type="dxa"/>
            <w:gridSpan w:val="2"/>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仪器型号</w:t>
            </w:r>
          </w:p>
          <w:p>
            <w:pPr>
              <w:widowControl/>
              <w:adjustRightInd w:val="0"/>
              <w:snapToGrid w:val="0"/>
              <w:spacing w:line="240" w:lineRule="auto"/>
              <w:ind w:firstLine="0" w:firstLineChars="0"/>
              <w:jc w:val="center"/>
              <w:rPr>
                <w:sz w:val="21"/>
                <w:szCs w:val="21"/>
              </w:rPr>
            </w:pPr>
            <w:r>
              <w:rPr>
                <w:sz w:val="21"/>
                <w:szCs w:val="21"/>
              </w:rPr>
              <w:t>与编号</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标准</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实际测量值</w:t>
            </w:r>
          </w:p>
        </w:tc>
        <w:tc>
          <w:tcPr>
            <w:tcW w:w="912"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误差(%)</w:t>
            </w:r>
          </w:p>
        </w:tc>
        <w:tc>
          <w:tcPr>
            <w:tcW w:w="9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示值误差</w:t>
            </w:r>
          </w:p>
          <w:p>
            <w:pPr>
              <w:widowControl/>
              <w:adjustRightInd w:val="0"/>
              <w:snapToGrid w:val="0"/>
              <w:spacing w:line="240" w:lineRule="auto"/>
              <w:ind w:firstLine="0" w:firstLineChars="0"/>
              <w:jc w:val="center"/>
              <w:rPr>
                <w:sz w:val="21"/>
                <w:szCs w:val="21"/>
              </w:rPr>
            </w:pPr>
            <w:r>
              <w:rPr>
                <w:sz w:val="21"/>
                <w:szCs w:val="21"/>
              </w:rPr>
              <w:t>(%)</w:t>
            </w:r>
          </w:p>
        </w:tc>
        <w:tc>
          <w:tcPr>
            <w:tcW w:w="12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是否</w:t>
            </w:r>
          </w:p>
          <w:p>
            <w:pPr>
              <w:widowControl/>
              <w:adjustRightInd w:val="0"/>
              <w:snapToGrid w:val="0"/>
              <w:spacing w:line="240" w:lineRule="auto"/>
              <w:ind w:firstLine="0" w:firstLineChars="0"/>
              <w:jc w:val="center"/>
              <w:rPr>
                <w:sz w:val="21"/>
                <w:szCs w:val="21"/>
              </w:rPr>
            </w:pPr>
            <w:r>
              <w:rPr>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205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气路(L.min)</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气路(L.min)</w:t>
            </w:r>
          </w:p>
        </w:tc>
        <w:tc>
          <w:tcPr>
            <w:tcW w:w="912"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9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tcBorders>
              <w:top w:val="single" w:color="auto" w:sz="4" w:space="0"/>
              <w:left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2023-12-13</w:t>
            </w: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XZYQ200</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99.9</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-0.1</w:t>
            </w:r>
          </w:p>
        </w:tc>
        <w:tc>
          <w:tcPr>
            <w:tcW w:w="975" w:type="dxa"/>
            <w:tcBorders>
              <w:top w:val="single" w:color="auto" w:sz="4" w:space="0"/>
              <w:left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±5%</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restart"/>
            <w:tcBorders>
              <w:top w:val="single" w:color="auto" w:sz="4" w:space="0"/>
              <w:left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2023-12-14</w:t>
            </w: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XZYQ208</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99.9</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-0.1</w:t>
            </w:r>
          </w:p>
        </w:tc>
        <w:tc>
          <w:tcPr>
            <w:tcW w:w="975" w:type="dxa"/>
            <w:vMerge w:val="restart"/>
            <w:tcBorders>
              <w:top w:val="single" w:color="auto" w:sz="4" w:space="0"/>
              <w:left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±5%</w:t>
            </w:r>
          </w:p>
        </w:tc>
        <w:tc>
          <w:tcPr>
            <w:tcW w:w="12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left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XZYQ211</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99.8</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-0.2</w:t>
            </w:r>
          </w:p>
        </w:tc>
        <w:tc>
          <w:tcPr>
            <w:tcW w:w="975" w:type="dxa"/>
            <w:vMerge w:val="continue"/>
            <w:tcBorders>
              <w:left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left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XZYQ212</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99.9</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-0.1</w:t>
            </w:r>
          </w:p>
        </w:tc>
        <w:tc>
          <w:tcPr>
            <w:tcW w:w="975" w:type="dxa"/>
            <w:vMerge w:val="continue"/>
            <w:tcBorders>
              <w:left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XZYQ213</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99.9</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-0.1</w:t>
            </w:r>
          </w:p>
        </w:tc>
        <w:tc>
          <w:tcPr>
            <w:tcW w:w="975" w:type="dxa"/>
            <w:vMerge w:val="continue"/>
            <w:tcBorders>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2023-12-15</w:t>
            </w: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XZYQ208</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99.9</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-0.1</w:t>
            </w:r>
          </w:p>
        </w:tc>
        <w:tc>
          <w:tcPr>
            <w:tcW w:w="9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XZYQ211</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99.8</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-0.2</w:t>
            </w:r>
          </w:p>
        </w:tc>
        <w:tc>
          <w:tcPr>
            <w:tcW w:w="9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XZYQ212</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99.9</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-0.1</w:t>
            </w:r>
          </w:p>
        </w:tc>
        <w:tc>
          <w:tcPr>
            <w:tcW w:w="9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5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p>
        </w:tc>
        <w:tc>
          <w:tcPr>
            <w:tcW w:w="144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XZYQ213</w:t>
            </w:r>
          </w:p>
        </w:tc>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E</w:t>
            </w:r>
          </w:p>
        </w:tc>
        <w:tc>
          <w:tcPr>
            <w:tcW w:w="121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100.0</w:t>
            </w:r>
          </w:p>
        </w:tc>
        <w:tc>
          <w:tcPr>
            <w:tcW w:w="127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83"/>
              <w:jc w:val="center"/>
              <w:rPr>
                <w:rFonts w:ascii="Times New Roman" w:hAnsi="Times New Roman"/>
                <w:szCs w:val="21"/>
              </w:rPr>
            </w:pPr>
            <w:r>
              <w:rPr>
                <w:rFonts w:hint="eastAsia" w:ascii="Times New Roman" w:hAnsi="Times New Roman"/>
                <w:szCs w:val="21"/>
              </w:rPr>
              <w:t>99.8</w:t>
            </w:r>
          </w:p>
        </w:tc>
        <w:tc>
          <w:tcPr>
            <w:tcW w:w="9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center"/>
              <w:textAlignment w:val="center"/>
              <w:rPr>
                <w:sz w:val="21"/>
                <w:szCs w:val="21"/>
              </w:rPr>
            </w:pPr>
            <w:r>
              <w:rPr>
                <w:color w:val="000000"/>
                <w:kern w:val="0"/>
                <w:sz w:val="21"/>
                <w:szCs w:val="21"/>
                <w:lang w:bidi="ar"/>
              </w:rPr>
              <w:t>-0.2</w:t>
            </w:r>
          </w:p>
        </w:tc>
        <w:tc>
          <w:tcPr>
            <w:tcW w:w="9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c>
          <w:tcPr>
            <w:tcW w:w="127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adjustRightInd w:val="0"/>
              <w:snapToGrid w:val="0"/>
              <w:spacing w:line="240" w:lineRule="auto"/>
              <w:ind w:firstLine="0" w:firstLineChars="0"/>
              <w:jc w:val="center"/>
              <w:rPr>
                <w:sz w:val="21"/>
                <w:szCs w:val="21"/>
              </w:rPr>
            </w:pPr>
          </w:p>
        </w:tc>
      </w:tr>
      <w:bookmarkEnd w:id="1018"/>
      <w:bookmarkEnd w:id="1019"/>
    </w:tbl>
    <w:p>
      <w:pPr>
        <w:pStyle w:val="48"/>
      </w:pPr>
      <w:bookmarkStart w:id="1029" w:name="_Toc10669_WPSOffice_Level2"/>
      <w:bookmarkStart w:id="1030" w:name="_Toc27907"/>
      <w:bookmarkStart w:id="1031" w:name="_Toc22673"/>
      <w:bookmarkStart w:id="1032" w:name="_Toc473"/>
      <w:bookmarkStart w:id="1033" w:name="_Toc28370"/>
      <w:bookmarkStart w:id="1034" w:name="_Toc15176_WPSOffice_Level2"/>
      <w:bookmarkStart w:id="1035" w:name="_Toc9181_WPSOffice_Level2"/>
      <w:bookmarkStart w:id="1036" w:name="_Toc14571_WPSOffice_Level2"/>
      <w:bookmarkStart w:id="1037" w:name="_Toc16186_WPSOffice_Level2"/>
      <w:bookmarkStart w:id="1038" w:name="_Toc2324"/>
      <w:bookmarkStart w:id="1039" w:name="_Toc15396"/>
      <w:bookmarkStart w:id="1040" w:name="_Toc22691"/>
      <w:bookmarkStart w:id="1041" w:name="_Toc26344"/>
      <w:r>
        <w:rPr>
          <w:rFonts w:hint="eastAsia"/>
        </w:rPr>
        <w:t>8.5-2空白质控结果一览表</w:t>
      </w:r>
    </w:p>
    <w:tbl>
      <w:tblPr>
        <w:tblStyle w:val="34"/>
        <w:tblW w:w="9188" w:type="dxa"/>
        <w:tblInd w:w="214" w:type="dxa"/>
        <w:tblLayout w:type="autofit"/>
        <w:tblCellMar>
          <w:top w:w="0" w:type="dxa"/>
          <w:left w:w="108" w:type="dxa"/>
          <w:bottom w:w="0" w:type="dxa"/>
          <w:right w:w="108" w:type="dxa"/>
        </w:tblCellMar>
      </w:tblPr>
      <w:tblGrid>
        <w:gridCol w:w="1827"/>
        <w:gridCol w:w="1624"/>
        <w:gridCol w:w="2399"/>
        <w:gridCol w:w="1638"/>
        <w:gridCol w:w="1700"/>
      </w:tblGrid>
      <w:tr>
        <w:tblPrEx>
          <w:tblCellMar>
            <w:top w:w="0" w:type="dxa"/>
            <w:left w:w="108" w:type="dxa"/>
            <w:bottom w:w="0" w:type="dxa"/>
            <w:right w:w="108" w:type="dxa"/>
          </w:tblCellMar>
        </w:tblPrEx>
        <w:trPr>
          <w:trHeight w:val="482" w:hRule="atLeast"/>
        </w:trPr>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检测日期</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检测项目</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样品编码</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检测结果</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是否合格</w:t>
            </w:r>
          </w:p>
        </w:tc>
      </w:tr>
      <w:tr>
        <w:tblPrEx>
          <w:tblCellMar>
            <w:top w:w="0" w:type="dxa"/>
            <w:left w:w="108" w:type="dxa"/>
            <w:bottom w:w="0" w:type="dxa"/>
            <w:right w:w="108" w:type="dxa"/>
          </w:tblCellMar>
        </w:tblPrEx>
        <w:trPr>
          <w:trHeight w:val="690" w:hRule="atLeast"/>
        </w:trPr>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2023-12-15</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VOCs（以非甲烷总烃计）</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w:t>
            </w:r>
            <w:r>
              <w:rPr>
                <w:bCs/>
                <w:color w:val="000000"/>
                <w:sz w:val="21"/>
                <w:szCs w:val="21"/>
              </w:rPr>
              <w:br w:type="textWrapping"/>
            </w:r>
            <w:r>
              <w:rPr>
                <w:bCs/>
                <w:color w:val="000000"/>
                <w:sz w:val="21"/>
                <w:szCs w:val="21"/>
              </w:rPr>
              <w:t>G(VOCs)0403-02YK</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0.07L mg/m³</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690" w:hRule="atLeast"/>
        </w:trPr>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2023-12-15</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VOCs（以非甲烷总烃计）</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w:t>
            </w:r>
            <w:r>
              <w:rPr>
                <w:bCs/>
                <w:color w:val="000000"/>
                <w:sz w:val="21"/>
                <w:szCs w:val="21"/>
              </w:rPr>
              <w:br w:type="textWrapping"/>
            </w:r>
            <w:r>
              <w:rPr>
                <w:bCs/>
                <w:color w:val="000000"/>
                <w:sz w:val="21"/>
                <w:szCs w:val="21"/>
              </w:rPr>
              <w:t>G(VOCs)0406-01YK</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0.07L mg/m³</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690" w:hRule="atLeast"/>
        </w:trPr>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2023-12-15</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VOCs（以非甲烷总烃计）</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w:t>
            </w:r>
            <w:r>
              <w:rPr>
                <w:bCs/>
                <w:color w:val="000000"/>
                <w:sz w:val="21"/>
                <w:szCs w:val="21"/>
              </w:rPr>
              <w:br w:type="textWrapping"/>
            </w:r>
            <w:r>
              <w:rPr>
                <w:bCs/>
                <w:color w:val="000000"/>
                <w:sz w:val="21"/>
                <w:szCs w:val="21"/>
              </w:rPr>
              <w:t>G(VOCs)1104-04YK</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0.07L mg/m³</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690" w:hRule="atLeast"/>
        </w:trPr>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2023-12-16</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VOCs（以非甲烷总烃计）</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w:t>
            </w:r>
            <w:r>
              <w:rPr>
                <w:bCs/>
                <w:color w:val="000000"/>
                <w:sz w:val="21"/>
                <w:szCs w:val="21"/>
              </w:rPr>
              <w:br w:type="textWrapping"/>
            </w:r>
            <w:r>
              <w:rPr>
                <w:bCs/>
                <w:color w:val="000000"/>
                <w:sz w:val="21"/>
                <w:szCs w:val="21"/>
              </w:rPr>
              <w:t>G(VOCs)1108-04YK</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0.07L mg/m³</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561" w:hRule="atLeast"/>
        </w:trPr>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备注</w:t>
            </w:r>
          </w:p>
        </w:tc>
        <w:tc>
          <w:tcPr>
            <w:tcW w:w="736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当检测结果低于检出限时，以“检出限+L”表示。</w:t>
            </w:r>
          </w:p>
        </w:tc>
      </w:tr>
    </w:tbl>
    <w:p>
      <w:pPr>
        <w:ind w:firstLine="480"/>
      </w:pPr>
      <w:r>
        <w:rPr>
          <w:rFonts w:hint="eastAsia"/>
        </w:rPr>
        <w:br w:type="page"/>
      </w:r>
    </w:p>
    <w:p>
      <w:pPr>
        <w:pStyle w:val="48"/>
      </w:pPr>
      <w:r>
        <w:rPr>
          <w:rFonts w:hint="eastAsia"/>
        </w:rPr>
        <w:t>8.5-3精密度（平行样）质控结果一览表</w:t>
      </w:r>
    </w:p>
    <w:tbl>
      <w:tblPr>
        <w:tblStyle w:val="34"/>
        <w:tblW w:w="9223" w:type="dxa"/>
        <w:tblInd w:w="93" w:type="dxa"/>
        <w:tblLayout w:type="autofit"/>
        <w:tblCellMar>
          <w:top w:w="0" w:type="dxa"/>
          <w:left w:w="108" w:type="dxa"/>
          <w:bottom w:w="0" w:type="dxa"/>
          <w:right w:w="108" w:type="dxa"/>
        </w:tblCellMar>
      </w:tblPr>
      <w:tblGrid>
        <w:gridCol w:w="1530"/>
        <w:gridCol w:w="3764"/>
        <w:gridCol w:w="1519"/>
        <w:gridCol w:w="1200"/>
        <w:gridCol w:w="1210"/>
      </w:tblGrid>
      <w:tr>
        <w:tblPrEx>
          <w:tblCellMar>
            <w:top w:w="0" w:type="dxa"/>
            <w:left w:w="108" w:type="dxa"/>
            <w:bottom w:w="0" w:type="dxa"/>
            <w:right w:w="108" w:type="dxa"/>
          </w:tblCellMar>
        </w:tblPrEx>
        <w:trPr>
          <w:trHeight w:val="566"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检测项目</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样品编码</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检测结果</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相对偏差</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是否合格</w:t>
            </w:r>
          </w:p>
        </w:tc>
      </w:tr>
      <w:tr>
        <w:tblPrEx>
          <w:tblCellMar>
            <w:top w:w="0" w:type="dxa"/>
            <w:left w:w="108" w:type="dxa"/>
            <w:bottom w:w="0" w:type="dxa"/>
            <w:right w:w="108" w:type="dxa"/>
          </w:tblCellMar>
        </w:tblPrEx>
        <w:trPr>
          <w:trHeight w:val="440" w:hRule="atLeast"/>
        </w:trPr>
        <w:tc>
          <w:tcPr>
            <w:tcW w:w="153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VOCs（以非甲烷总烃计）</w:t>
            </w:r>
          </w:p>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2023040119-G(VOCs)0301-01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159 mg/m3</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5.3%</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2023040119-G(VOCs)0301-01_平行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143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2023040119-G(VOCs)0302-01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166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1.2%</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2023040119-G(VOCs)0302-01_平行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162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2023040119-G(VOCs)0403-01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1.63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2.2%</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2023040119-G(VOCs)0403-01_平行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1.56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2023040119-G(VOCs)0404-01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1.69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1.2%</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2023040119-G(VOCs)0404-01_平行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1.65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2023040119-G(VOCs)0701-01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1.45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2.5%</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2023040119-G(VOCs)0701-01_平行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1.38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2023040119-G(VOCs)0703-03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1.45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3.2%</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2023040119-G(VOCs)0703-03_平行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1.36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2023040119-G(VOCs)0704-04</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1.46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0.3%</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3"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2023040119-G(VOCs)0704-04_平行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1.47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2023040119-G(VOCs)0705-01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1.41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2.8%</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2023040119-G(VOCs)0705-01_平行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1.49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2023040119-G(VOCs)0707-03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1.40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1.8%</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2023040119-G(VOCs)0707-03_平行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1.35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2023040119-G(VOCs)0803-01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0.84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0.0%</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2023040119-G(VOCs)0803-01_平行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0.84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2023040119-G(VOCs)0806-01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0.68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0.7%</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2023040119-G(VOCs)0806-01_平行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0.67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2023040119-G(VOCs)0808-03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0.68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0.7%</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2023040119-G(VOCs)0808-03_平行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0.67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2023040119-G(VOCs)0901-03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1.19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1.7%</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2023040119-G(VOCs)0901-03_平行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1.15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2023040119-G(VOCs)0904-01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0.94 mg/m³</w:t>
            </w:r>
          </w:p>
        </w:tc>
        <w:tc>
          <w:tcPr>
            <w:tcW w:w="120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3.1%</w:t>
            </w:r>
          </w:p>
        </w:tc>
        <w:tc>
          <w:tcPr>
            <w:tcW w:w="121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tcBorders>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2023040119-G(VOCs)0904-01_平行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1.00 mg/m³</w:t>
            </w: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bl>
    <w:p>
      <w:pPr>
        <w:ind w:firstLine="480"/>
      </w:pPr>
    </w:p>
    <w:tbl>
      <w:tblPr>
        <w:tblStyle w:val="34"/>
        <w:tblW w:w="9223" w:type="dxa"/>
        <w:tblInd w:w="93" w:type="dxa"/>
        <w:tblLayout w:type="autofit"/>
        <w:tblCellMar>
          <w:top w:w="0" w:type="dxa"/>
          <w:left w:w="108" w:type="dxa"/>
          <w:bottom w:w="0" w:type="dxa"/>
          <w:right w:w="108" w:type="dxa"/>
        </w:tblCellMar>
      </w:tblPr>
      <w:tblGrid>
        <w:gridCol w:w="1530"/>
        <w:gridCol w:w="3764"/>
        <w:gridCol w:w="1519"/>
        <w:gridCol w:w="1200"/>
        <w:gridCol w:w="1210"/>
      </w:tblGrid>
      <w:tr>
        <w:tblPrEx>
          <w:tblCellMar>
            <w:top w:w="0" w:type="dxa"/>
            <w:left w:w="108" w:type="dxa"/>
            <w:bottom w:w="0" w:type="dxa"/>
            <w:right w:w="108" w:type="dxa"/>
          </w:tblCellMar>
        </w:tblPrEx>
        <w:trPr>
          <w:trHeight w:val="457" w:hRule="atLeast"/>
        </w:trPr>
        <w:tc>
          <w:tcPr>
            <w:tcW w:w="153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检测项目</w:t>
            </w:r>
          </w:p>
        </w:tc>
        <w:tc>
          <w:tcPr>
            <w:tcW w:w="3764"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样品编码</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检测结果</w:t>
            </w:r>
          </w:p>
        </w:tc>
        <w:tc>
          <w:tcPr>
            <w:tcW w:w="120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相对偏差</w:t>
            </w:r>
          </w:p>
        </w:tc>
        <w:tc>
          <w:tcPr>
            <w:tcW w:w="121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是否合格</w:t>
            </w:r>
          </w:p>
        </w:tc>
      </w:tr>
      <w:tr>
        <w:tblPrEx>
          <w:tblCellMar>
            <w:top w:w="0" w:type="dxa"/>
            <w:left w:w="108" w:type="dxa"/>
            <w:bottom w:w="0" w:type="dxa"/>
            <w:right w:w="108" w:type="dxa"/>
          </w:tblCellMar>
        </w:tblPrEx>
        <w:trPr>
          <w:trHeight w:val="457" w:hRule="atLeast"/>
        </w:trPr>
        <w:tc>
          <w:tcPr>
            <w:tcW w:w="1530" w:type="dxa"/>
            <w:vMerge w:val="restart"/>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VOCs（以非甲烷总烃计）</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2023040119-G(VOCs)0907-01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1.02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1.4%</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2023040119-G(VOCs)0907-01_平行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1.05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2023040119-G(VOCs)1002-03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0.94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2.1%</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2023040119-G(VOCs)1002-03_平行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0.98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2023040119-G(VOCs)1005-03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0.93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1.6%</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2023040119-G(VOCs)1005-03_平行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0.90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2023040119-G(VOCs)1008-01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0.86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1.1%</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2023040119-G(VOCs)1008-01_平行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0.88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2023040119-G(VOCs)1101-01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0.94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2.1%</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2023040119-G(VOCs)1101-01_平行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0.98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2023040119-G(VOCs)1103-03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0.96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3.2%</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2023040119-G(VOCs)1103-03_平行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0.90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2023040119-G(VOCs)1106-03</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0.95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0.5%</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2023040119-G(VOCs)1106-03_平行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0.96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2023040119-G(VOCs)1301-02</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0.62 mg/m³</w:t>
            </w:r>
          </w:p>
        </w:tc>
        <w:tc>
          <w:tcPr>
            <w:tcW w:w="12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4.2%</w:t>
            </w:r>
          </w:p>
        </w:tc>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9" w:hRule="atLeast"/>
        </w:trPr>
        <w:tc>
          <w:tcPr>
            <w:tcW w:w="1530" w:type="dxa"/>
            <w:vMerge w:val="continue"/>
            <w:tcBorders>
              <w:left w:val="single" w:color="000000" w:sz="4" w:space="0"/>
              <w:right w:val="single" w:color="000000" w:sz="4" w:space="0"/>
            </w:tcBorders>
            <w:shd w:val="clear" w:color="auto" w:fill="auto"/>
            <w:vAlign w:val="center"/>
          </w:tcPr>
          <w:p>
            <w:pPr>
              <w:ind w:firstLine="440"/>
              <w:jc w:val="center"/>
              <w:rPr>
                <w:rFonts w:ascii="Arial" w:hAnsi="Arial" w:cs="Arial"/>
                <w:color w:val="000000"/>
                <w:sz w:val="22"/>
                <w:szCs w:val="22"/>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2023040119-G(VOCs)1301-02_平行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0.57 mg/m³</w:t>
            </w:r>
          </w:p>
        </w:tc>
        <w:tc>
          <w:tcPr>
            <w:tcW w:w="12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ind w:firstLine="400"/>
              <w:jc w:val="center"/>
              <w:rPr>
                <w:color w:val="000000"/>
                <w:sz w:val="20"/>
                <w:szCs w:val="20"/>
              </w:rPr>
            </w:pPr>
          </w:p>
        </w:tc>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ind w:firstLine="440"/>
              <w:jc w:val="center"/>
              <w:rPr>
                <w:rFonts w:ascii="Arial" w:hAnsi="Arial" w:cs="Arial"/>
                <w:color w:val="000000"/>
                <w:sz w:val="22"/>
                <w:szCs w:val="22"/>
              </w:rPr>
            </w:pP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2023040119-G(VOCs)1304-01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0.62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4.2%</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57"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2023040119-G(VOCs)1304-01_平行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0.57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2023040119-G(VOCs)1305-01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0.61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0.0%</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2023040119-G(VOCs)1305-01_平行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0.61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2023040119-G(VOCs)1308-01</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0.56 mg/m³</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1.8%</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合格</w:t>
            </w:r>
          </w:p>
        </w:tc>
      </w:tr>
      <w:tr>
        <w:tblPrEx>
          <w:tblCellMar>
            <w:top w:w="0" w:type="dxa"/>
            <w:left w:w="108" w:type="dxa"/>
            <w:bottom w:w="0" w:type="dxa"/>
            <w:right w:w="108" w:type="dxa"/>
          </w:tblCellMar>
        </w:tblPrEx>
        <w:trPr>
          <w:trHeight w:val="440" w:hRule="atLeast"/>
        </w:trPr>
        <w:tc>
          <w:tcPr>
            <w:tcW w:w="153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2023040119-G(VOCs)1308-01_平行</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0.54 mg/m³</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bCs/>
                <w:color w:val="000000"/>
                <w:sz w:val="21"/>
                <w:szCs w:val="21"/>
              </w:rPr>
            </w:pPr>
          </w:p>
        </w:tc>
      </w:tr>
    </w:tbl>
    <w:p>
      <w:pPr>
        <w:widowControl/>
        <w:spacing w:line="240" w:lineRule="auto"/>
        <w:ind w:firstLine="0" w:firstLineChars="0"/>
        <w:jc w:val="center"/>
        <w:rPr>
          <w:bCs/>
          <w:color w:val="000000"/>
          <w:sz w:val="21"/>
          <w:szCs w:val="21"/>
        </w:rPr>
      </w:pPr>
    </w:p>
    <w:p>
      <w:pPr>
        <w:pStyle w:val="4"/>
      </w:pPr>
      <w:bookmarkStart w:id="1042" w:name="_Toc8969"/>
      <w:r>
        <w:t>8.6噪声监测分析过程中的质量保证和质量控制</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pPr>
        <w:ind w:firstLine="480"/>
      </w:pPr>
      <w:bookmarkStart w:id="1043" w:name="_Toc4386_WPSOffice_Level3"/>
      <w:bookmarkStart w:id="1044" w:name="_Toc12888_WPSOffice_Level3"/>
      <w:r>
        <w:t>（1） 噪声监测质量保证和质量控制按《工业企业厂界环境噪声排放标准》（GB12348 -2008）的要求进行。</w:t>
      </w:r>
    </w:p>
    <w:p>
      <w:pPr>
        <w:ind w:firstLine="480"/>
      </w:pPr>
      <w:r>
        <w:t>（2） 验收监测中及时了解工况，确保监测过程中工况负荷满足有关要求；</w:t>
      </w:r>
    </w:p>
    <w:p>
      <w:pPr>
        <w:ind w:firstLine="480"/>
      </w:pPr>
      <w:r>
        <w:t>（3） 合理布设监测点位，确保各监测点位布设的科学性和代表性；监测分析方法均采用国家有关部门颁布的标准（或推荐）分析方法，监测数据严格实行三级审核制度；</w:t>
      </w:r>
    </w:p>
    <w:p>
      <w:pPr>
        <w:ind w:firstLine="480"/>
      </w:pPr>
      <w:r>
        <w:t>（4） 监测仪器经计量部门检定并在有效使用期内。</w:t>
      </w:r>
    </w:p>
    <w:p>
      <w:pPr>
        <w:ind w:firstLine="480"/>
      </w:pPr>
      <w:r>
        <w:t>（5） 在无雨雪、无雷电的天气条件下进行测量，风速为1.9～3.2m/s，小于5m/s，满足测试要求。测量时传声器加设防风罩。</w:t>
      </w:r>
    </w:p>
    <w:p>
      <w:pPr>
        <w:ind w:firstLine="480"/>
      </w:pPr>
      <w:r>
        <w:t>（6） 噪声监测所使用的噪声统计分析仪在监测前后用标准声源进行校准，若测量前后的校准测定相差不得大于0.5 dB。</w:t>
      </w:r>
    </w:p>
    <w:p>
      <w:pPr>
        <w:ind w:firstLine="480"/>
      </w:pPr>
      <w:r>
        <w:t>噪声分析仪校准记录详见表8.6-1</w:t>
      </w:r>
    </w:p>
    <w:p>
      <w:pPr>
        <w:pStyle w:val="48"/>
        <w:rPr>
          <w:color w:val="000000"/>
        </w:rPr>
      </w:pPr>
      <w:r>
        <w:rPr>
          <w:color w:val="000000"/>
        </w:rPr>
        <w:t>表8.6-1 噪声仪校准记录表</w:t>
      </w:r>
      <w:bookmarkEnd w:id="1043"/>
      <w:bookmarkEnd w:id="1044"/>
    </w:p>
    <w:tbl>
      <w:tblPr>
        <w:tblStyle w:val="34"/>
        <w:tblW w:w="49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162"/>
        <w:gridCol w:w="1052"/>
        <w:gridCol w:w="1052"/>
        <w:gridCol w:w="942"/>
        <w:gridCol w:w="1253"/>
        <w:gridCol w:w="124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3"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日期</w:t>
            </w:r>
          </w:p>
        </w:tc>
        <w:tc>
          <w:tcPr>
            <w:tcW w:w="116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检测前校准值</w:t>
            </w:r>
            <w:r>
              <w:rPr>
                <w:bCs/>
                <w:color w:val="000000"/>
                <w:sz w:val="21"/>
                <w:szCs w:val="21"/>
              </w:rPr>
              <w:br w:type="textWrapping"/>
            </w:r>
            <w:r>
              <w:rPr>
                <w:bCs/>
                <w:color w:val="000000"/>
                <w:sz w:val="21"/>
                <w:szCs w:val="21"/>
              </w:rPr>
              <w:t>[dB(A)]</w:t>
            </w:r>
          </w:p>
        </w:tc>
        <w:tc>
          <w:tcPr>
            <w:tcW w:w="105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检测后测定值</w:t>
            </w:r>
            <w:r>
              <w:rPr>
                <w:bCs/>
                <w:color w:val="000000"/>
                <w:sz w:val="21"/>
                <w:szCs w:val="21"/>
              </w:rPr>
              <w:br w:type="textWrapping"/>
            </w:r>
            <w:r>
              <w:rPr>
                <w:bCs/>
                <w:color w:val="000000"/>
                <w:sz w:val="21"/>
                <w:szCs w:val="21"/>
              </w:rPr>
              <w:t>[dB(A)]</w:t>
            </w:r>
          </w:p>
        </w:tc>
        <w:tc>
          <w:tcPr>
            <w:tcW w:w="1052" w:type="dxa"/>
            <w:tcBorders>
              <w:tl2br w:val="nil"/>
              <w:tr2bl w:val="nil"/>
            </w:tcBorders>
            <w:shd w:val="clear" w:color="auto" w:fill="auto"/>
            <w:vAlign w:val="center"/>
          </w:tcPr>
          <w:p>
            <w:pPr>
              <w:widowControl/>
              <w:spacing w:line="240" w:lineRule="auto"/>
              <w:ind w:firstLine="0" w:firstLineChars="0"/>
              <w:jc w:val="center"/>
              <w:rPr>
                <w:bCs/>
                <w:color w:val="000000"/>
                <w:sz w:val="21"/>
                <w:szCs w:val="21"/>
              </w:rPr>
            </w:pPr>
            <w:r>
              <w:rPr>
                <w:bCs/>
                <w:color w:val="000000"/>
                <w:sz w:val="21"/>
                <w:szCs w:val="21"/>
              </w:rPr>
              <w:t>差值</w:t>
            </w:r>
            <w:r>
              <w:rPr>
                <w:bCs/>
                <w:color w:val="000000"/>
                <w:sz w:val="21"/>
                <w:szCs w:val="21"/>
              </w:rPr>
              <w:br w:type="textWrapping"/>
            </w:r>
            <w:r>
              <w:rPr>
                <w:bCs/>
                <w:color w:val="000000"/>
                <w:sz w:val="21"/>
                <w:szCs w:val="21"/>
              </w:rPr>
              <w:t>[dB(A)]</w:t>
            </w:r>
          </w:p>
        </w:tc>
        <w:tc>
          <w:tcPr>
            <w:tcW w:w="94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是否</w:t>
            </w:r>
            <w:r>
              <w:rPr>
                <w:bCs/>
                <w:color w:val="000000"/>
                <w:sz w:val="21"/>
                <w:szCs w:val="21"/>
              </w:rPr>
              <w:br w:type="textWrapping"/>
            </w:r>
            <w:r>
              <w:rPr>
                <w:bCs/>
                <w:color w:val="000000"/>
                <w:sz w:val="21"/>
                <w:szCs w:val="21"/>
              </w:rPr>
              <w:t>达标</w:t>
            </w:r>
          </w:p>
        </w:tc>
        <w:tc>
          <w:tcPr>
            <w:tcW w:w="1253"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日期</w:t>
            </w:r>
          </w:p>
        </w:tc>
        <w:tc>
          <w:tcPr>
            <w:tcW w:w="1248"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标准声源</w:t>
            </w:r>
            <w:r>
              <w:rPr>
                <w:bCs/>
                <w:color w:val="000000"/>
                <w:sz w:val="21"/>
                <w:szCs w:val="21"/>
              </w:rPr>
              <w:br w:type="textWrapping"/>
            </w:r>
            <w:r>
              <w:rPr>
                <w:bCs/>
                <w:color w:val="000000"/>
                <w:sz w:val="21"/>
                <w:szCs w:val="21"/>
              </w:rPr>
              <w:t>[dB(A)]</w:t>
            </w:r>
          </w:p>
        </w:tc>
        <w:tc>
          <w:tcPr>
            <w:tcW w:w="1090" w:type="dxa"/>
            <w:tcBorders>
              <w:tl2br w:val="nil"/>
              <w:tr2bl w:val="nil"/>
            </w:tcBorders>
            <w:vAlign w:val="center"/>
          </w:tcPr>
          <w:p>
            <w:pPr>
              <w:widowControl/>
              <w:spacing w:line="240" w:lineRule="auto"/>
              <w:ind w:firstLine="0" w:firstLineChars="0"/>
              <w:jc w:val="center"/>
              <w:rPr>
                <w:bCs/>
                <w:color w:val="000000"/>
                <w:sz w:val="21"/>
                <w:szCs w:val="21"/>
              </w:rPr>
            </w:pPr>
            <w:r>
              <w:rPr>
                <w:rFonts w:hint="eastAsia"/>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3"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2023-12-13</w:t>
            </w:r>
          </w:p>
          <w:p>
            <w:pPr>
              <w:widowControl/>
              <w:spacing w:line="240" w:lineRule="auto"/>
              <w:ind w:firstLine="0" w:firstLineChars="0"/>
              <w:jc w:val="center"/>
              <w:rPr>
                <w:bCs/>
                <w:color w:val="000000"/>
                <w:sz w:val="21"/>
                <w:szCs w:val="21"/>
              </w:rPr>
            </w:pPr>
            <w:r>
              <w:rPr>
                <w:bCs/>
                <w:color w:val="000000"/>
                <w:sz w:val="21"/>
                <w:szCs w:val="21"/>
              </w:rPr>
              <w:t>(昼间)</w:t>
            </w:r>
          </w:p>
        </w:tc>
        <w:tc>
          <w:tcPr>
            <w:tcW w:w="116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93.8</w:t>
            </w:r>
          </w:p>
        </w:tc>
        <w:tc>
          <w:tcPr>
            <w:tcW w:w="105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93.3</w:t>
            </w:r>
          </w:p>
        </w:tc>
        <w:tc>
          <w:tcPr>
            <w:tcW w:w="1052" w:type="dxa"/>
            <w:tcBorders>
              <w:tl2br w:val="nil"/>
              <w:tr2bl w:val="nil"/>
            </w:tcBorders>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w:t>
            </w:r>
            <w:r>
              <w:rPr>
                <w:bCs/>
                <w:color w:val="000000"/>
                <w:sz w:val="21"/>
                <w:szCs w:val="21"/>
              </w:rPr>
              <w:t>0.5</w:t>
            </w:r>
          </w:p>
        </w:tc>
        <w:tc>
          <w:tcPr>
            <w:tcW w:w="94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是</w:t>
            </w:r>
          </w:p>
        </w:tc>
        <w:tc>
          <w:tcPr>
            <w:tcW w:w="1253"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2023-12-13(昼间)</w:t>
            </w:r>
          </w:p>
        </w:tc>
        <w:tc>
          <w:tcPr>
            <w:tcW w:w="1248"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94.0</w:t>
            </w:r>
          </w:p>
        </w:tc>
        <w:tc>
          <w:tcPr>
            <w:tcW w:w="1090" w:type="dxa"/>
            <w:vMerge w:val="restart"/>
            <w:tcBorders>
              <w:tl2br w:val="nil"/>
              <w:tr2bl w:val="nil"/>
            </w:tcBorders>
            <w:vAlign w:val="center"/>
          </w:tcPr>
          <w:p>
            <w:pPr>
              <w:widowControl/>
              <w:spacing w:line="240" w:lineRule="auto"/>
              <w:ind w:firstLine="0" w:firstLineChars="0"/>
              <w:jc w:val="center"/>
              <w:rPr>
                <w:bCs/>
                <w:color w:val="000000"/>
                <w:sz w:val="21"/>
                <w:szCs w:val="21"/>
              </w:rPr>
            </w:pPr>
            <w:r>
              <w:rPr>
                <w:rFonts w:hint="eastAsia"/>
                <w:bCs/>
                <w:color w:val="000000"/>
                <w:sz w:val="21"/>
                <w:szCs w:val="21"/>
              </w:rPr>
              <w:t>夜间不</w:t>
            </w:r>
          </w:p>
          <w:p>
            <w:pPr>
              <w:widowControl/>
              <w:spacing w:line="240" w:lineRule="auto"/>
              <w:ind w:firstLine="0" w:firstLineChars="0"/>
              <w:jc w:val="center"/>
              <w:rPr>
                <w:bCs/>
                <w:color w:val="000000"/>
                <w:sz w:val="21"/>
                <w:szCs w:val="21"/>
              </w:rPr>
            </w:pPr>
            <w:r>
              <w:rPr>
                <w:rFonts w:hint="eastAsia"/>
                <w:bCs/>
                <w:color w:val="000000"/>
                <w:sz w:val="21"/>
                <w:szCs w:val="21"/>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3"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2023-12-14</w:t>
            </w:r>
          </w:p>
          <w:p>
            <w:pPr>
              <w:widowControl/>
              <w:spacing w:line="240" w:lineRule="auto"/>
              <w:ind w:firstLine="0" w:firstLineChars="0"/>
              <w:jc w:val="center"/>
              <w:rPr>
                <w:bCs/>
                <w:color w:val="000000"/>
                <w:sz w:val="21"/>
                <w:szCs w:val="21"/>
              </w:rPr>
            </w:pPr>
            <w:r>
              <w:rPr>
                <w:bCs/>
                <w:color w:val="000000"/>
                <w:sz w:val="21"/>
                <w:szCs w:val="21"/>
              </w:rPr>
              <w:t>(昼间)</w:t>
            </w:r>
          </w:p>
        </w:tc>
        <w:tc>
          <w:tcPr>
            <w:tcW w:w="116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93.8</w:t>
            </w:r>
          </w:p>
        </w:tc>
        <w:tc>
          <w:tcPr>
            <w:tcW w:w="105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94.2</w:t>
            </w:r>
          </w:p>
        </w:tc>
        <w:tc>
          <w:tcPr>
            <w:tcW w:w="1052" w:type="dxa"/>
            <w:tcBorders>
              <w:tl2br w:val="nil"/>
              <w:tr2bl w:val="nil"/>
            </w:tcBorders>
            <w:shd w:val="clear" w:color="auto" w:fill="auto"/>
            <w:vAlign w:val="center"/>
          </w:tcPr>
          <w:p>
            <w:pPr>
              <w:widowControl/>
              <w:spacing w:line="240" w:lineRule="auto"/>
              <w:ind w:firstLine="0" w:firstLineChars="0"/>
              <w:jc w:val="center"/>
              <w:rPr>
                <w:bCs/>
                <w:color w:val="000000"/>
                <w:sz w:val="21"/>
                <w:szCs w:val="21"/>
              </w:rPr>
            </w:pPr>
            <w:r>
              <w:rPr>
                <w:rFonts w:hint="eastAsia"/>
                <w:bCs/>
                <w:color w:val="000000"/>
                <w:sz w:val="21"/>
                <w:szCs w:val="21"/>
              </w:rPr>
              <w:t>+</w:t>
            </w:r>
            <w:r>
              <w:rPr>
                <w:bCs/>
                <w:color w:val="000000"/>
                <w:sz w:val="21"/>
                <w:szCs w:val="21"/>
              </w:rPr>
              <w:t>0.4</w:t>
            </w:r>
          </w:p>
        </w:tc>
        <w:tc>
          <w:tcPr>
            <w:tcW w:w="942"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是</w:t>
            </w:r>
          </w:p>
        </w:tc>
        <w:tc>
          <w:tcPr>
            <w:tcW w:w="1253"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2023-12-14(昼间)</w:t>
            </w:r>
          </w:p>
        </w:tc>
        <w:tc>
          <w:tcPr>
            <w:tcW w:w="1248" w:type="dxa"/>
            <w:tcBorders>
              <w:tl2br w:val="nil"/>
              <w:tr2bl w:val="nil"/>
            </w:tcBorders>
            <w:vAlign w:val="center"/>
          </w:tcPr>
          <w:p>
            <w:pPr>
              <w:widowControl/>
              <w:spacing w:line="240" w:lineRule="auto"/>
              <w:ind w:firstLine="0" w:firstLineChars="0"/>
              <w:jc w:val="center"/>
              <w:rPr>
                <w:bCs/>
                <w:color w:val="000000"/>
                <w:sz w:val="21"/>
                <w:szCs w:val="21"/>
              </w:rPr>
            </w:pPr>
            <w:r>
              <w:rPr>
                <w:bCs/>
                <w:color w:val="000000"/>
                <w:sz w:val="21"/>
                <w:szCs w:val="21"/>
              </w:rPr>
              <w:t>94.0</w:t>
            </w:r>
          </w:p>
        </w:tc>
        <w:tc>
          <w:tcPr>
            <w:tcW w:w="1090" w:type="dxa"/>
            <w:vMerge w:val="continue"/>
            <w:tcBorders>
              <w:tl2br w:val="nil"/>
              <w:tr2bl w:val="nil"/>
            </w:tcBorders>
            <w:vAlign w:val="center"/>
          </w:tcPr>
          <w:p>
            <w:pPr>
              <w:widowControl/>
              <w:spacing w:line="240" w:lineRule="auto"/>
              <w:ind w:firstLine="0" w:firstLineChars="0"/>
              <w:jc w:val="center"/>
              <w:rPr>
                <w:bCs/>
                <w:color w:val="000000"/>
                <w:sz w:val="21"/>
                <w:szCs w:val="21"/>
              </w:rPr>
            </w:pPr>
          </w:p>
        </w:tc>
      </w:tr>
    </w:tbl>
    <w:p>
      <w:pPr>
        <w:adjustRightInd w:val="0"/>
        <w:snapToGrid w:val="0"/>
        <w:spacing w:before="163" w:beforeLines="50"/>
        <w:ind w:firstLine="480"/>
        <w:jc w:val="center"/>
        <w:rPr>
          <w:rFonts w:eastAsia="黑体"/>
          <w:color w:val="000000"/>
          <w:highlight w:val="red"/>
        </w:rPr>
      </w:pPr>
    </w:p>
    <w:p>
      <w:pPr>
        <w:ind w:firstLine="0" w:firstLineChars="0"/>
        <w:rPr>
          <w:color w:val="000000"/>
          <w:highlight w:val="red"/>
        </w:rPr>
        <w:sectPr>
          <w:pgSz w:w="11905" w:h="16838"/>
          <w:pgMar w:top="1247" w:right="1247" w:bottom="1247" w:left="1247" w:header="709" w:footer="680" w:gutter="0"/>
          <w:cols w:space="0" w:num="1"/>
          <w:docGrid w:type="lines" w:linePitch="326" w:charSpace="0"/>
        </w:sectPr>
      </w:pPr>
    </w:p>
    <w:p>
      <w:pPr>
        <w:pStyle w:val="3"/>
      </w:pPr>
      <w:bookmarkStart w:id="1045" w:name="_Toc4031"/>
      <w:bookmarkStart w:id="1046" w:name="_Toc16565_WPSOffice_Level1"/>
      <w:bookmarkStart w:id="1047" w:name="_Toc508787728"/>
      <w:bookmarkStart w:id="1048" w:name="_Toc3762"/>
      <w:bookmarkStart w:id="1049" w:name="_Toc15531"/>
      <w:bookmarkStart w:id="1050" w:name="_Toc10847_WPSOffice_Level1"/>
      <w:bookmarkStart w:id="1051" w:name="_Toc2472"/>
      <w:bookmarkStart w:id="1052" w:name="_Toc16246"/>
      <w:bookmarkStart w:id="1053" w:name="_Toc9837"/>
      <w:bookmarkStart w:id="1054" w:name="_Toc13297"/>
      <w:bookmarkStart w:id="1055" w:name="_Toc12110_WPSOffice_Level1"/>
      <w:bookmarkStart w:id="1056" w:name="_Toc10658"/>
      <w:bookmarkStart w:id="1057" w:name="_Toc27636_WPSOffice_Level1"/>
      <w:bookmarkStart w:id="1058" w:name="_Toc25208"/>
      <w:bookmarkStart w:id="1059" w:name="_Toc1865"/>
      <w:bookmarkStart w:id="1060" w:name="_Toc4675"/>
      <w:bookmarkStart w:id="1061" w:name="_Toc32444"/>
      <w:bookmarkStart w:id="1062" w:name="_Toc9763"/>
      <w:bookmarkStart w:id="1063" w:name="_Toc19177"/>
      <w:bookmarkStart w:id="1064" w:name="_Toc20986"/>
      <w:bookmarkStart w:id="1065" w:name="_Toc31505"/>
      <w:bookmarkStart w:id="1066" w:name="_Toc27838_WPSOffice_Level1"/>
      <w:bookmarkStart w:id="1067" w:name="_Toc15887"/>
      <w:bookmarkStart w:id="1068" w:name="_Toc16612"/>
      <w:bookmarkStart w:id="1069" w:name="_Toc9368"/>
      <w:bookmarkStart w:id="1070" w:name="_Toc16017"/>
      <w:bookmarkStart w:id="1071" w:name="_Toc4942"/>
      <w:r>
        <w:t>第九章 验收监测结果</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pPr>
        <w:pStyle w:val="4"/>
      </w:pPr>
      <w:bookmarkStart w:id="1072" w:name="_Toc11654"/>
      <w:bookmarkStart w:id="1073" w:name="_Toc1989"/>
      <w:bookmarkStart w:id="1074" w:name="_Toc32138"/>
      <w:bookmarkStart w:id="1075" w:name="_Toc12559"/>
      <w:bookmarkStart w:id="1076" w:name="_Toc2793_WPSOffice_Level2"/>
      <w:bookmarkStart w:id="1077" w:name="_Toc58"/>
      <w:bookmarkStart w:id="1078" w:name="_Toc17086"/>
      <w:bookmarkStart w:id="1079" w:name="_Toc20360"/>
      <w:bookmarkStart w:id="1080" w:name="_Toc5162_WPSOffice_Level2"/>
      <w:bookmarkStart w:id="1081" w:name="_Toc508787729"/>
      <w:bookmarkStart w:id="1082" w:name="_Toc21237_WPSOffice_Level2"/>
      <w:bookmarkStart w:id="1083" w:name="_Toc12802"/>
      <w:bookmarkStart w:id="1084" w:name="_Toc29005"/>
      <w:bookmarkStart w:id="1085" w:name="_Toc3206"/>
      <w:bookmarkStart w:id="1086" w:name="_Toc12764"/>
      <w:bookmarkStart w:id="1087" w:name="_Toc23473"/>
      <w:bookmarkStart w:id="1088" w:name="_Toc29205"/>
      <w:bookmarkStart w:id="1089" w:name="_Toc15283_WPSOffice_Level2"/>
      <w:bookmarkStart w:id="1090" w:name="_Toc12655"/>
      <w:bookmarkStart w:id="1091" w:name="_Toc5761"/>
      <w:bookmarkStart w:id="1092" w:name="_Toc3835"/>
      <w:bookmarkStart w:id="1093" w:name="_Toc7822_WPSOffice_Level2"/>
      <w:bookmarkStart w:id="1094" w:name="_Toc19066"/>
      <w:bookmarkStart w:id="1095" w:name="_Toc9020"/>
      <w:bookmarkStart w:id="1096" w:name="_Toc14286"/>
      <w:bookmarkStart w:id="1097" w:name="_Toc25759"/>
      <w:bookmarkStart w:id="1098" w:name="_Toc24328"/>
      <w:r>
        <w:t>9.1生产工况</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pStyle w:val="22"/>
        <w:ind w:firstLine="480"/>
        <w:jc w:val="left"/>
        <w:rPr>
          <w:rFonts w:ascii="Times New Roman" w:hAnsi="Times New Roman"/>
          <w:szCs w:val="24"/>
        </w:rPr>
      </w:pPr>
      <w:bookmarkStart w:id="1099" w:name="_Toc14671"/>
      <w:bookmarkStart w:id="1100" w:name="_Toc508787730"/>
      <w:r>
        <w:rPr>
          <w:rFonts w:ascii="Times New Roman" w:hAnsi="Times New Roman"/>
          <w:szCs w:val="24"/>
        </w:rPr>
        <w:t>在验收监测期间（</w:t>
      </w:r>
      <w:r>
        <w:rPr>
          <w:rFonts w:ascii="Times New Roman" w:hAnsi="Times New Roman"/>
        </w:rPr>
        <w:t>202</w:t>
      </w:r>
      <w:r>
        <w:rPr>
          <w:rFonts w:hint="eastAsia" w:ascii="Times New Roman" w:hAnsi="Times New Roman"/>
        </w:rPr>
        <w:t>3</w:t>
      </w:r>
      <w:r>
        <w:rPr>
          <w:rFonts w:ascii="Times New Roman" w:hAnsi="Times New Roman"/>
        </w:rPr>
        <w:t>年</w:t>
      </w:r>
      <w:r>
        <w:rPr>
          <w:rFonts w:hint="eastAsia" w:ascii="Times New Roman" w:hAnsi="Times New Roman"/>
        </w:rPr>
        <w:t>12</w:t>
      </w:r>
      <w:r>
        <w:rPr>
          <w:rFonts w:ascii="Times New Roman" w:hAnsi="Times New Roman"/>
        </w:rPr>
        <w:t>月</w:t>
      </w:r>
      <w:r>
        <w:rPr>
          <w:rFonts w:hint="eastAsia" w:ascii="Times New Roman" w:hAnsi="Times New Roman"/>
        </w:rPr>
        <w:t>13</w:t>
      </w:r>
      <w:r>
        <w:rPr>
          <w:rFonts w:ascii="Times New Roman" w:hAnsi="Times New Roman"/>
        </w:rPr>
        <w:t>日~</w:t>
      </w:r>
      <w:r>
        <w:rPr>
          <w:rFonts w:hint="eastAsia" w:ascii="Times New Roman" w:hAnsi="Times New Roman"/>
        </w:rPr>
        <w:t>15</w:t>
      </w:r>
      <w:r>
        <w:rPr>
          <w:rFonts w:ascii="Times New Roman" w:hAnsi="Times New Roman"/>
        </w:rPr>
        <w:t>日</w:t>
      </w:r>
      <w:r>
        <w:rPr>
          <w:rFonts w:ascii="Times New Roman" w:hAnsi="Times New Roman"/>
          <w:szCs w:val="24"/>
        </w:rPr>
        <w:t>），生产主体设备及环保设施运行正常、稳定，生产负荷见表9.1-1。</w:t>
      </w:r>
    </w:p>
    <w:p>
      <w:pPr>
        <w:pStyle w:val="22"/>
        <w:ind w:firstLine="480"/>
        <w:jc w:val="center"/>
        <w:rPr>
          <w:rFonts w:ascii="Times New Roman" w:hAnsi="Times New Roman" w:eastAsia="黑体"/>
          <w:szCs w:val="21"/>
        </w:rPr>
      </w:pPr>
      <w:bookmarkStart w:id="1101" w:name="_Toc4634_WPSOffice_Level3"/>
      <w:bookmarkStart w:id="1102" w:name="_Toc31894_WPSOffice_Level3"/>
      <w:r>
        <w:rPr>
          <w:rFonts w:ascii="Times New Roman" w:hAnsi="Times New Roman" w:eastAsia="黑体"/>
          <w:szCs w:val="24"/>
        </w:rPr>
        <w:t xml:space="preserve">表9.1-1 </w:t>
      </w:r>
      <w:bookmarkEnd w:id="1101"/>
      <w:bookmarkEnd w:id="1102"/>
      <w:r>
        <w:rPr>
          <w:rFonts w:ascii="Times New Roman" w:hAnsi="Times New Roman" w:eastAsia="黑体"/>
          <w:szCs w:val="24"/>
        </w:rPr>
        <w:t>验收监测期间工况负荷情况表</w:t>
      </w:r>
    </w:p>
    <w:tbl>
      <w:tblPr>
        <w:tblStyle w:val="3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2149"/>
        <w:gridCol w:w="2937"/>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01" w:type="pct"/>
            <w:vAlign w:val="center"/>
          </w:tcPr>
          <w:p>
            <w:pPr>
              <w:pStyle w:val="44"/>
            </w:pPr>
            <w:bookmarkStart w:id="1103" w:name="_Toc23892"/>
            <w:bookmarkStart w:id="1104" w:name="_Toc23372"/>
            <w:bookmarkStart w:id="1105" w:name="_Toc2315"/>
            <w:bookmarkStart w:id="1106" w:name="_Toc7681"/>
            <w:bookmarkStart w:id="1107" w:name="_Toc2251"/>
            <w:bookmarkStart w:id="1108" w:name="_Toc14858_WPSOffice_Level2"/>
            <w:bookmarkStart w:id="1109" w:name="_Toc27206"/>
            <w:bookmarkStart w:id="1110" w:name="_Toc1408"/>
            <w:bookmarkStart w:id="1111" w:name="_Toc740"/>
            <w:bookmarkStart w:id="1112" w:name="_Toc16245"/>
            <w:bookmarkStart w:id="1113" w:name="_Toc11585"/>
            <w:bookmarkStart w:id="1114" w:name="_Toc14084"/>
            <w:bookmarkStart w:id="1115" w:name="_Toc10126"/>
            <w:bookmarkStart w:id="1116" w:name="_Toc14453"/>
            <w:bookmarkStart w:id="1117" w:name="_Toc5179_WPSOffice_Level2"/>
            <w:bookmarkStart w:id="1118" w:name="_Toc26764"/>
            <w:bookmarkStart w:id="1119" w:name="_Toc26509_WPSOffice_Level2"/>
            <w:bookmarkStart w:id="1120" w:name="_Toc22193"/>
            <w:bookmarkStart w:id="1121" w:name="_Toc14613_WPSOffice_Level2"/>
            <w:bookmarkStart w:id="1122" w:name="_Toc19715"/>
            <w:bookmarkStart w:id="1123" w:name="_Toc15289_WPSOffice_Level2"/>
            <w:bookmarkStart w:id="1124" w:name="_Toc1117"/>
            <w:r>
              <w:t>日期</w:t>
            </w:r>
          </w:p>
        </w:tc>
        <w:tc>
          <w:tcPr>
            <w:tcW w:w="1117" w:type="pct"/>
            <w:vAlign w:val="center"/>
          </w:tcPr>
          <w:p>
            <w:pPr>
              <w:pStyle w:val="44"/>
            </w:pPr>
            <w:r>
              <w:t>环评设计产能</w:t>
            </w:r>
          </w:p>
        </w:tc>
        <w:tc>
          <w:tcPr>
            <w:tcW w:w="1527" w:type="pct"/>
            <w:vAlign w:val="center"/>
          </w:tcPr>
          <w:p>
            <w:pPr>
              <w:pStyle w:val="44"/>
            </w:pPr>
            <w:r>
              <w:t>验收监测期间</w:t>
            </w:r>
          </w:p>
          <w:p>
            <w:pPr>
              <w:pStyle w:val="44"/>
            </w:pPr>
            <w:r>
              <w:t>实际产能</w:t>
            </w:r>
          </w:p>
        </w:tc>
        <w:tc>
          <w:tcPr>
            <w:tcW w:w="1053" w:type="pct"/>
            <w:vAlign w:val="center"/>
          </w:tcPr>
          <w:p>
            <w:pPr>
              <w:pStyle w:val="44"/>
            </w:pPr>
            <w: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01" w:type="pct"/>
            <w:vAlign w:val="center"/>
          </w:tcPr>
          <w:p>
            <w:pPr>
              <w:pStyle w:val="44"/>
            </w:pPr>
            <w:r>
              <w:t>202</w:t>
            </w:r>
            <w:r>
              <w:rPr>
                <w:rFonts w:hint="eastAsia"/>
              </w:rPr>
              <w:t>3.12.13</w:t>
            </w:r>
          </w:p>
        </w:tc>
        <w:tc>
          <w:tcPr>
            <w:tcW w:w="1117" w:type="pct"/>
            <w:vMerge w:val="restart"/>
            <w:shd w:val="clear" w:color="auto" w:fill="auto"/>
            <w:vAlign w:val="center"/>
          </w:tcPr>
          <w:p>
            <w:pPr>
              <w:pStyle w:val="44"/>
            </w:pPr>
            <w:r>
              <w:rPr>
                <w:rFonts w:hint="eastAsia"/>
              </w:rPr>
              <w:t>10套</w:t>
            </w:r>
            <w:r>
              <w:t>/</w:t>
            </w:r>
            <w:r>
              <w:rPr>
                <w:rFonts w:hint="eastAsia"/>
              </w:rPr>
              <w:t>3d</w:t>
            </w:r>
          </w:p>
        </w:tc>
        <w:tc>
          <w:tcPr>
            <w:tcW w:w="1527" w:type="pct"/>
            <w:shd w:val="clear" w:color="auto" w:fill="auto"/>
            <w:vAlign w:val="center"/>
          </w:tcPr>
          <w:p>
            <w:pPr>
              <w:pStyle w:val="44"/>
            </w:pPr>
            <w:r>
              <w:rPr>
                <w:rFonts w:hint="eastAsia"/>
              </w:rPr>
              <w:t>10</w:t>
            </w:r>
            <w:r>
              <w:t xml:space="preserve"> </w:t>
            </w:r>
            <w:r>
              <w:rPr>
                <w:rFonts w:hint="eastAsia"/>
              </w:rPr>
              <w:t>套</w:t>
            </w:r>
            <w:r>
              <w:t>/</w:t>
            </w:r>
            <w:r>
              <w:rPr>
                <w:rFonts w:hint="eastAsia"/>
              </w:rPr>
              <w:t>3d</w:t>
            </w:r>
          </w:p>
        </w:tc>
        <w:tc>
          <w:tcPr>
            <w:tcW w:w="1053" w:type="pct"/>
            <w:vAlign w:val="center"/>
          </w:tcPr>
          <w:p>
            <w:pPr>
              <w:pStyle w:val="44"/>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01" w:type="pct"/>
            <w:vAlign w:val="center"/>
          </w:tcPr>
          <w:p>
            <w:pPr>
              <w:pStyle w:val="44"/>
            </w:pPr>
            <w:r>
              <w:t>202</w:t>
            </w:r>
            <w:r>
              <w:rPr>
                <w:rFonts w:hint="eastAsia"/>
              </w:rPr>
              <w:t>3</w:t>
            </w:r>
            <w:r>
              <w:t>.</w:t>
            </w:r>
            <w:r>
              <w:rPr>
                <w:rFonts w:hint="eastAsia"/>
              </w:rPr>
              <w:t>12.14</w:t>
            </w:r>
          </w:p>
        </w:tc>
        <w:tc>
          <w:tcPr>
            <w:tcW w:w="1117" w:type="pct"/>
            <w:vMerge w:val="continue"/>
            <w:shd w:val="clear" w:color="auto" w:fill="auto"/>
            <w:vAlign w:val="center"/>
          </w:tcPr>
          <w:p>
            <w:pPr>
              <w:pStyle w:val="44"/>
            </w:pPr>
          </w:p>
        </w:tc>
        <w:tc>
          <w:tcPr>
            <w:tcW w:w="1527" w:type="pct"/>
            <w:shd w:val="clear" w:color="auto" w:fill="auto"/>
            <w:vAlign w:val="center"/>
          </w:tcPr>
          <w:p>
            <w:pPr>
              <w:pStyle w:val="44"/>
            </w:pPr>
            <w:r>
              <w:rPr>
                <w:rFonts w:hint="eastAsia"/>
              </w:rPr>
              <w:t>10套</w:t>
            </w:r>
            <w:r>
              <w:t>/</w:t>
            </w:r>
            <w:r>
              <w:rPr>
                <w:rFonts w:hint="eastAsia"/>
              </w:rPr>
              <w:t>3d</w:t>
            </w:r>
          </w:p>
        </w:tc>
        <w:tc>
          <w:tcPr>
            <w:tcW w:w="1053" w:type="pct"/>
            <w:vAlign w:val="center"/>
          </w:tcPr>
          <w:p>
            <w:pPr>
              <w:pStyle w:val="44"/>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01" w:type="pct"/>
            <w:vAlign w:val="center"/>
          </w:tcPr>
          <w:p>
            <w:pPr>
              <w:pStyle w:val="44"/>
            </w:pPr>
            <w:bookmarkStart w:id="1125" w:name="_Toc3414"/>
            <w:bookmarkStart w:id="1126" w:name="_Toc1561"/>
            <w:r>
              <w:t>202</w:t>
            </w:r>
            <w:r>
              <w:rPr>
                <w:rFonts w:hint="eastAsia"/>
              </w:rPr>
              <w:t>3</w:t>
            </w:r>
            <w:r>
              <w:t>.</w:t>
            </w:r>
            <w:r>
              <w:rPr>
                <w:rFonts w:hint="eastAsia"/>
              </w:rPr>
              <w:t>12.15</w:t>
            </w:r>
          </w:p>
        </w:tc>
        <w:tc>
          <w:tcPr>
            <w:tcW w:w="1117" w:type="pct"/>
            <w:vMerge w:val="continue"/>
            <w:shd w:val="clear" w:color="auto" w:fill="auto"/>
            <w:vAlign w:val="center"/>
          </w:tcPr>
          <w:p>
            <w:pPr>
              <w:pStyle w:val="44"/>
            </w:pPr>
          </w:p>
        </w:tc>
        <w:tc>
          <w:tcPr>
            <w:tcW w:w="1527" w:type="pct"/>
            <w:shd w:val="clear" w:color="auto" w:fill="auto"/>
            <w:vAlign w:val="center"/>
          </w:tcPr>
          <w:p>
            <w:pPr>
              <w:pStyle w:val="44"/>
            </w:pPr>
            <w:r>
              <w:rPr>
                <w:rFonts w:hint="eastAsia"/>
              </w:rPr>
              <w:t>10套</w:t>
            </w:r>
            <w:r>
              <w:t>/</w:t>
            </w:r>
            <w:r>
              <w:rPr>
                <w:rFonts w:hint="eastAsia"/>
              </w:rPr>
              <w:t>3d</w:t>
            </w:r>
          </w:p>
        </w:tc>
        <w:tc>
          <w:tcPr>
            <w:tcW w:w="1053" w:type="pct"/>
            <w:vAlign w:val="center"/>
          </w:tcPr>
          <w:p>
            <w:pPr>
              <w:pStyle w:val="44"/>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01" w:type="pct"/>
            <w:vAlign w:val="center"/>
          </w:tcPr>
          <w:p>
            <w:pPr>
              <w:pStyle w:val="44"/>
            </w:pPr>
            <w:r>
              <w:rPr>
                <w:rFonts w:hint="eastAsia"/>
              </w:rPr>
              <w:t>2024.2.28</w:t>
            </w:r>
          </w:p>
        </w:tc>
        <w:tc>
          <w:tcPr>
            <w:tcW w:w="1117" w:type="pct"/>
            <w:vMerge w:val="continue"/>
            <w:shd w:val="clear" w:color="auto" w:fill="auto"/>
            <w:vAlign w:val="center"/>
          </w:tcPr>
          <w:p>
            <w:pPr>
              <w:pStyle w:val="44"/>
            </w:pPr>
          </w:p>
        </w:tc>
        <w:tc>
          <w:tcPr>
            <w:tcW w:w="1527" w:type="pct"/>
            <w:shd w:val="clear" w:color="auto" w:fill="auto"/>
            <w:vAlign w:val="center"/>
          </w:tcPr>
          <w:p>
            <w:pPr>
              <w:ind w:firstLine="0" w:firstLineChars="0"/>
              <w:jc w:val="center"/>
            </w:pPr>
            <w:r>
              <w:rPr>
                <w:rFonts w:hint="eastAsia"/>
              </w:rPr>
              <w:t>10套</w:t>
            </w:r>
            <w:r>
              <w:t>/</w:t>
            </w:r>
            <w:r>
              <w:rPr>
                <w:rFonts w:hint="eastAsia"/>
              </w:rPr>
              <w:t>3d</w:t>
            </w:r>
          </w:p>
        </w:tc>
        <w:tc>
          <w:tcPr>
            <w:tcW w:w="2026" w:type="dxa"/>
            <w:vAlign w:val="center"/>
          </w:tcPr>
          <w:p>
            <w:pPr>
              <w:pStyle w:val="44"/>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01" w:type="pct"/>
            <w:vAlign w:val="center"/>
          </w:tcPr>
          <w:p>
            <w:pPr>
              <w:pStyle w:val="44"/>
            </w:pPr>
            <w:r>
              <w:rPr>
                <w:rFonts w:hint="eastAsia"/>
              </w:rPr>
              <w:t>2024.2.29</w:t>
            </w:r>
          </w:p>
        </w:tc>
        <w:tc>
          <w:tcPr>
            <w:tcW w:w="1117" w:type="pct"/>
            <w:vMerge w:val="continue"/>
            <w:shd w:val="clear" w:color="auto" w:fill="auto"/>
            <w:vAlign w:val="center"/>
          </w:tcPr>
          <w:p>
            <w:pPr>
              <w:pStyle w:val="44"/>
            </w:pPr>
          </w:p>
        </w:tc>
        <w:tc>
          <w:tcPr>
            <w:tcW w:w="1527" w:type="pct"/>
            <w:shd w:val="clear" w:color="auto" w:fill="auto"/>
            <w:vAlign w:val="center"/>
          </w:tcPr>
          <w:p>
            <w:pPr>
              <w:ind w:firstLine="0" w:firstLineChars="0"/>
              <w:jc w:val="center"/>
            </w:pPr>
            <w:r>
              <w:rPr>
                <w:rFonts w:hint="eastAsia"/>
              </w:rPr>
              <w:t>10套</w:t>
            </w:r>
            <w:r>
              <w:t>/</w:t>
            </w:r>
            <w:r>
              <w:rPr>
                <w:rFonts w:hint="eastAsia"/>
              </w:rPr>
              <w:t>3d</w:t>
            </w:r>
          </w:p>
        </w:tc>
        <w:tc>
          <w:tcPr>
            <w:tcW w:w="2026" w:type="dxa"/>
            <w:vAlign w:val="center"/>
          </w:tcPr>
          <w:p>
            <w:pPr>
              <w:pStyle w:val="44"/>
            </w:pPr>
            <w:r>
              <w:rPr>
                <w:rFonts w:hint="eastAsia"/>
              </w:rPr>
              <w:t>100</w:t>
            </w:r>
          </w:p>
        </w:tc>
      </w:tr>
    </w:tbl>
    <w:p>
      <w:pPr>
        <w:ind w:firstLine="480"/>
      </w:pPr>
      <w:r>
        <w:rPr>
          <w:rFonts w:hint="eastAsia"/>
        </w:rPr>
        <w:t>根据《建设项目竣工环境保护验收技术指南 污染影响类》2018-05-15发布要求，验收时生产设备正常稳定运行，环保设施正常稳定运行，验收工况满足验收要求。</w:t>
      </w:r>
    </w:p>
    <w:p>
      <w:pPr>
        <w:pStyle w:val="4"/>
      </w:pPr>
      <w:bookmarkStart w:id="1127" w:name="_Toc22731"/>
      <w:r>
        <w:t>9.2保护设施调试运行效果</w:t>
      </w:r>
      <w:bookmarkEnd w:id="1099"/>
      <w:bookmarkEnd w:id="1100"/>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pPr>
        <w:pStyle w:val="5"/>
      </w:pPr>
      <w:bookmarkStart w:id="1128" w:name="_Toc3230_WPSOffice_Level3"/>
      <w:r>
        <w:t>9.2.1环保设施处理效率监测结果</w:t>
      </w:r>
    </w:p>
    <w:p>
      <w:pPr>
        <w:pStyle w:val="6"/>
      </w:pPr>
      <w:r>
        <w:rPr>
          <w:rFonts w:hint="eastAsia"/>
        </w:rPr>
        <w:t>9.2.1.1废水治理设施</w:t>
      </w:r>
    </w:p>
    <w:p>
      <w:pPr>
        <w:ind w:firstLine="480"/>
      </w:pPr>
      <w:r>
        <w:t>监测期间，污水处理站主要污染控制因子平均处理效率见表9.2-</w:t>
      </w:r>
      <w:r>
        <w:rPr>
          <w:rFonts w:hint="eastAsia"/>
        </w:rPr>
        <w:t>1</w:t>
      </w:r>
      <w:r>
        <w:t>。</w:t>
      </w:r>
    </w:p>
    <w:p>
      <w:pPr>
        <w:ind w:firstLine="480"/>
        <w:jc w:val="center"/>
        <w:rPr>
          <w:rFonts w:eastAsia="黑体"/>
        </w:rPr>
      </w:pPr>
      <w:r>
        <w:rPr>
          <w:rFonts w:eastAsia="黑体"/>
        </w:rPr>
        <w:t>表9.2-</w:t>
      </w:r>
      <w:r>
        <w:rPr>
          <w:rFonts w:hint="eastAsia" w:eastAsia="黑体"/>
        </w:rPr>
        <w:t>1</w:t>
      </w:r>
      <w:r>
        <w:rPr>
          <w:rFonts w:eastAsia="黑体"/>
        </w:rPr>
        <w:t xml:space="preserve"> 污水处理站平均处理效率</w:t>
      </w:r>
    </w:p>
    <w:tbl>
      <w:tblPr>
        <w:tblStyle w:val="34"/>
        <w:tblW w:w="47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268"/>
        <w:gridCol w:w="2004"/>
        <w:gridCol w:w="1937"/>
        <w:gridCol w:w="113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2" w:type="pct"/>
            <w:noWrap/>
            <w:vAlign w:val="center"/>
          </w:tcPr>
          <w:p>
            <w:pPr>
              <w:pStyle w:val="44"/>
            </w:pPr>
            <w:r>
              <w:t>污染因子</w:t>
            </w:r>
          </w:p>
        </w:tc>
        <w:tc>
          <w:tcPr>
            <w:tcW w:w="696" w:type="pct"/>
            <w:noWrap/>
            <w:vAlign w:val="center"/>
          </w:tcPr>
          <w:p>
            <w:pPr>
              <w:pStyle w:val="44"/>
            </w:pPr>
            <w:r>
              <w:t>日期</w:t>
            </w:r>
          </w:p>
        </w:tc>
        <w:tc>
          <w:tcPr>
            <w:tcW w:w="1099" w:type="pct"/>
            <w:noWrap/>
            <w:vAlign w:val="center"/>
          </w:tcPr>
          <w:p>
            <w:pPr>
              <w:pStyle w:val="44"/>
            </w:pPr>
            <w:r>
              <w:t>进口浓度（mg/L）</w:t>
            </w:r>
          </w:p>
        </w:tc>
        <w:tc>
          <w:tcPr>
            <w:tcW w:w="1062" w:type="pct"/>
            <w:noWrap/>
            <w:vAlign w:val="center"/>
          </w:tcPr>
          <w:p>
            <w:pPr>
              <w:pStyle w:val="44"/>
            </w:pPr>
            <w:r>
              <w:t>出口浓度（mg/L）</w:t>
            </w:r>
          </w:p>
        </w:tc>
        <w:tc>
          <w:tcPr>
            <w:tcW w:w="1168" w:type="pct"/>
            <w:gridSpan w:val="2"/>
            <w:noWrap/>
            <w:vAlign w:val="center"/>
          </w:tcPr>
          <w:p>
            <w:pPr>
              <w:pStyle w:val="44"/>
            </w:pPr>
            <w: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2" w:type="pct"/>
            <w:vMerge w:val="restart"/>
            <w:vAlign w:val="center"/>
          </w:tcPr>
          <w:p>
            <w:pPr>
              <w:pStyle w:val="44"/>
            </w:pPr>
            <w:r>
              <w:t>五日生化需氧量</w:t>
            </w:r>
          </w:p>
        </w:tc>
        <w:tc>
          <w:tcPr>
            <w:tcW w:w="696" w:type="pct"/>
            <w:vAlign w:val="center"/>
          </w:tcPr>
          <w:p>
            <w:pPr>
              <w:pStyle w:val="44"/>
            </w:pPr>
            <w:r>
              <w:t>2024-02-28</w:t>
            </w:r>
          </w:p>
        </w:tc>
        <w:tc>
          <w:tcPr>
            <w:tcW w:w="1099" w:type="pct"/>
            <w:vAlign w:val="center"/>
          </w:tcPr>
          <w:p>
            <w:pPr>
              <w:pStyle w:val="44"/>
            </w:pPr>
            <w:r>
              <w:rPr>
                <w:rFonts w:hint="eastAsia"/>
              </w:rPr>
              <w:t>118</w:t>
            </w:r>
          </w:p>
        </w:tc>
        <w:tc>
          <w:tcPr>
            <w:tcW w:w="1062" w:type="pct"/>
            <w:vAlign w:val="center"/>
          </w:tcPr>
          <w:p>
            <w:pPr>
              <w:pStyle w:val="44"/>
            </w:pPr>
            <w:r>
              <w:rPr>
                <w:rFonts w:hint="eastAsia"/>
              </w:rPr>
              <w:t>9.7</w:t>
            </w:r>
          </w:p>
        </w:tc>
        <w:tc>
          <w:tcPr>
            <w:tcW w:w="620" w:type="pct"/>
            <w:noWrap/>
            <w:vAlign w:val="center"/>
          </w:tcPr>
          <w:p>
            <w:pPr>
              <w:pStyle w:val="44"/>
            </w:pPr>
            <w:r>
              <w:rPr>
                <w:rFonts w:hint="eastAsia"/>
              </w:rPr>
              <w:t>91.8</w:t>
            </w:r>
          </w:p>
        </w:tc>
        <w:tc>
          <w:tcPr>
            <w:tcW w:w="547" w:type="pct"/>
            <w:vMerge w:val="restart"/>
            <w:noWrap/>
            <w:vAlign w:val="center"/>
          </w:tcPr>
          <w:p>
            <w:pPr>
              <w:pStyle w:val="44"/>
            </w:pPr>
            <w:r>
              <w:rPr>
                <w:rFonts w:hint="eastAsia"/>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72" w:type="pct"/>
            <w:vMerge w:val="continue"/>
            <w:vAlign w:val="center"/>
          </w:tcPr>
          <w:p>
            <w:pPr>
              <w:pStyle w:val="44"/>
            </w:pPr>
          </w:p>
        </w:tc>
        <w:tc>
          <w:tcPr>
            <w:tcW w:w="696" w:type="pct"/>
            <w:vAlign w:val="center"/>
          </w:tcPr>
          <w:p>
            <w:pPr>
              <w:pStyle w:val="44"/>
            </w:pPr>
            <w:r>
              <w:t>2024-02-29</w:t>
            </w:r>
          </w:p>
        </w:tc>
        <w:tc>
          <w:tcPr>
            <w:tcW w:w="1099" w:type="pct"/>
            <w:vAlign w:val="center"/>
          </w:tcPr>
          <w:p>
            <w:pPr>
              <w:pStyle w:val="44"/>
            </w:pPr>
            <w:r>
              <w:rPr>
                <w:rFonts w:hint="eastAsia"/>
              </w:rPr>
              <w:t>115</w:t>
            </w:r>
          </w:p>
        </w:tc>
        <w:tc>
          <w:tcPr>
            <w:tcW w:w="1062" w:type="pct"/>
            <w:vAlign w:val="center"/>
          </w:tcPr>
          <w:p>
            <w:pPr>
              <w:pStyle w:val="44"/>
            </w:pPr>
            <w:r>
              <w:rPr>
                <w:rFonts w:hint="eastAsia"/>
              </w:rPr>
              <w:t>9.0</w:t>
            </w:r>
          </w:p>
        </w:tc>
        <w:tc>
          <w:tcPr>
            <w:tcW w:w="620" w:type="pct"/>
            <w:noWrap/>
            <w:vAlign w:val="center"/>
          </w:tcPr>
          <w:p>
            <w:pPr>
              <w:pStyle w:val="44"/>
            </w:pPr>
            <w:r>
              <w:rPr>
                <w:rFonts w:hint="eastAsia"/>
              </w:rPr>
              <w:t>92.2</w:t>
            </w:r>
          </w:p>
        </w:tc>
        <w:tc>
          <w:tcPr>
            <w:tcW w:w="547" w:type="pct"/>
            <w:vMerge w:val="continue"/>
            <w:noWrap/>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972" w:type="pct"/>
            <w:vMerge w:val="restart"/>
            <w:vAlign w:val="center"/>
          </w:tcPr>
          <w:p>
            <w:pPr>
              <w:pStyle w:val="44"/>
            </w:pPr>
            <w:r>
              <w:t>溶解性总固体</w:t>
            </w:r>
          </w:p>
        </w:tc>
        <w:tc>
          <w:tcPr>
            <w:tcW w:w="696" w:type="pct"/>
            <w:vAlign w:val="center"/>
          </w:tcPr>
          <w:p>
            <w:pPr>
              <w:pStyle w:val="44"/>
            </w:pPr>
            <w:r>
              <w:t>2024-02-28</w:t>
            </w:r>
          </w:p>
        </w:tc>
        <w:tc>
          <w:tcPr>
            <w:tcW w:w="1099" w:type="pct"/>
            <w:vAlign w:val="center"/>
          </w:tcPr>
          <w:p>
            <w:pPr>
              <w:pStyle w:val="44"/>
            </w:pPr>
            <w:r>
              <w:rPr>
                <w:rFonts w:hint="eastAsia"/>
              </w:rPr>
              <w:t>1083</w:t>
            </w:r>
          </w:p>
        </w:tc>
        <w:tc>
          <w:tcPr>
            <w:tcW w:w="1062" w:type="pct"/>
            <w:vAlign w:val="center"/>
          </w:tcPr>
          <w:p>
            <w:pPr>
              <w:pStyle w:val="44"/>
            </w:pPr>
            <w:r>
              <w:rPr>
                <w:rFonts w:hint="eastAsia"/>
              </w:rPr>
              <w:t>950</w:t>
            </w:r>
          </w:p>
        </w:tc>
        <w:tc>
          <w:tcPr>
            <w:tcW w:w="620" w:type="pct"/>
            <w:noWrap/>
            <w:vAlign w:val="center"/>
          </w:tcPr>
          <w:p>
            <w:pPr>
              <w:pStyle w:val="44"/>
            </w:pPr>
            <w:r>
              <w:rPr>
                <w:rFonts w:hint="eastAsia"/>
              </w:rPr>
              <w:t>12.3</w:t>
            </w:r>
          </w:p>
        </w:tc>
        <w:tc>
          <w:tcPr>
            <w:tcW w:w="547" w:type="pct"/>
            <w:vMerge w:val="restart"/>
            <w:noWrap/>
            <w:vAlign w:val="center"/>
          </w:tcPr>
          <w:p>
            <w:pPr>
              <w:pStyle w:val="44"/>
            </w:pPr>
            <w:r>
              <w:rPr>
                <w:rFonts w:hint="eastAsia"/>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972" w:type="pct"/>
            <w:vMerge w:val="continue"/>
            <w:vAlign w:val="center"/>
          </w:tcPr>
          <w:p>
            <w:pPr>
              <w:pStyle w:val="44"/>
            </w:pPr>
          </w:p>
        </w:tc>
        <w:tc>
          <w:tcPr>
            <w:tcW w:w="696" w:type="pct"/>
            <w:vAlign w:val="center"/>
          </w:tcPr>
          <w:p>
            <w:pPr>
              <w:pStyle w:val="44"/>
            </w:pPr>
            <w:r>
              <w:t>2024-02-29</w:t>
            </w:r>
          </w:p>
        </w:tc>
        <w:tc>
          <w:tcPr>
            <w:tcW w:w="1099" w:type="pct"/>
            <w:vAlign w:val="center"/>
          </w:tcPr>
          <w:p>
            <w:pPr>
              <w:pStyle w:val="44"/>
            </w:pPr>
            <w:r>
              <w:rPr>
                <w:rFonts w:hint="eastAsia"/>
              </w:rPr>
              <w:t>1062</w:t>
            </w:r>
          </w:p>
        </w:tc>
        <w:tc>
          <w:tcPr>
            <w:tcW w:w="1062" w:type="pct"/>
            <w:vAlign w:val="center"/>
          </w:tcPr>
          <w:p>
            <w:pPr>
              <w:pStyle w:val="44"/>
            </w:pPr>
            <w:r>
              <w:rPr>
                <w:rFonts w:hint="eastAsia"/>
              </w:rPr>
              <w:t>933</w:t>
            </w:r>
          </w:p>
        </w:tc>
        <w:tc>
          <w:tcPr>
            <w:tcW w:w="620" w:type="pct"/>
            <w:noWrap/>
            <w:vAlign w:val="center"/>
          </w:tcPr>
          <w:p>
            <w:pPr>
              <w:pStyle w:val="44"/>
            </w:pPr>
            <w:r>
              <w:rPr>
                <w:rFonts w:hint="eastAsia"/>
              </w:rPr>
              <w:t>12.1</w:t>
            </w:r>
          </w:p>
        </w:tc>
        <w:tc>
          <w:tcPr>
            <w:tcW w:w="547" w:type="pct"/>
            <w:vMerge w:val="continue"/>
            <w:noWrap/>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972" w:type="pct"/>
            <w:vMerge w:val="restart"/>
            <w:vAlign w:val="center"/>
          </w:tcPr>
          <w:p>
            <w:pPr>
              <w:pStyle w:val="44"/>
            </w:pPr>
            <w:r>
              <w:rPr>
                <w:rFonts w:hint="eastAsia"/>
              </w:rPr>
              <w:t>阴离子表面</w:t>
            </w:r>
          </w:p>
          <w:p>
            <w:pPr>
              <w:pStyle w:val="44"/>
            </w:pPr>
            <w:r>
              <w:rPr>
                <w:rFonts w:hint="eastAsia"/>
              </w:rPr>
              <w:t>活性剂</w:t>
            </w:r>
          </w:p>
        </w:tc>
        <w:tc>
          <w:tcPr>
            <w:tcW w:w="696" w:type="pct"/>
            <w:vAlign w:val="center"/>
          </w:tcPr>
          <w:p>
            <w:pPr>
              <w:pStyle w:val="44"/>
            </w:pPr>
            <w:r>
              <w:t>2024-02-28</w:t>
            </w:r>
          </w:p>
        </w:tc>
        <w:tc>
          <w:tcPr>
            <w:tcW w:w="1099" w:type="pct"/>
            <w:vAlign w:val="center"/>
          </w:tcPr>
          <w:p>
            <w:pPr>
              <w:pStyle w:val="44"/>
            </w:pPr>
            <w:r>
              <w:rPr>
                <w:rFonts w:hint="eastAsia"/>
              </w:rPr>
              <w:t>0.30</w:t>
            </w:r>
          </w:p>
        </w:tc>
        <w:tc>
          <w:tcPr>
            <w:tcW w:w="1062" w:type="pct"/>
            <w:vAlign w:val="center"/>
          </w:tcPr>
          <w:p>
            <w:pPr>
              <w:pStyle w:val="44"/>
            </w:pPr>
            <w:r>
              <w:rPr>
                <w:rFonts w:hint="eastAsia"/>
              </w:rPr>
              <w:t>0.07</w:t>
            </w:r>
          </w:p>
        </w:tc>
        <w:tc>
          <w:tcPr>
            <w:tcW w:w="620" w:type="pct"/>
            <w:noWrap/>
            <w:vAlign w:val="center"/>
          </w:tcPr>
          <w:p>
            <w:pPr>
              <w:pStyle w:val="44"/>
            </w:pPr>
            <w:r>
              <w:rPr>
                <w:rFonts w:hint="eastAsia"/>
              </w:rPr>
              <w:t>76.6</w:t>
            </w:r>
          </w:p>
        </w:tc>
        <w:tc>
          <w:tcPr>
            <w:tcW w:w="547" w:type="pct"/>
            <w:vMerge w:val="restart"/>
            <w:noWrap/>
            <w:vAlign w:val="center"/>
          </w:tcPr>
          <w:p>
            <w:pPr>
              <w:pStyle w:val="44"/>
            </w:pPr>
            <w:r>
              <w:rPr>
                <w:rFonts w:hint="eastAsia"/>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972" w:type="pct"/>
            <w:vMerge w:val="continue"/>
            <w:vAlign w:val="center"/>
          </w:tcPr>
          <w:p>
            <w:pPr>
              <w:pStyle w:val="44"/>
            </w:pPr>
          </w:p>
        </w:tc>
        <w:tc>
          <w:tcPr>
            <w:tcW w:w="696" w:type="pct"/>
            <w:vAlign w:val="center"/>
          </w:tcPr>
          <w:p>
            <w:pPr>
              <w:pStyle w:val="44"/>
            </w:pPr>
            <w:r>
              <w:t>2024-02-29</w:t>
            </w:r>
          </w:p>
        </w:tc>
        <w:tc>
          <w:tcPr>
            <w:tcW w:w="1099" w:type="pct"/>
            <w:vAlign w:val="center"/>
          </w:tcPr>
          <w:p>
            <w:pPr>
              <w:pStyle w:val="44"/>
            </w:pPr>
            <w:r>
              <w:rPr>
                <w:rFonts w:hint="eastAsia"/>
              </w:rPr>
              <w:t>0.28</w:t>
            </w:r>
          </w:p>
        </w:tc>
        <w:tc>
          <w:tcPr>
            <w:tcW w:w="1062" w:type="pct"/>
            <w:vAlign w:val="center"/>
          </w:tcPr>
          <w:p>
            <w:pPr>
              <w:pStyle w:val="44"/>
            </w:pPr>
            <w:r>
              <w:rPr>
                <w:rFonts w:hint="eastAsia"/>
              </w:rPr>
              <w:t>0.07</w:t>
            </w:r>
          </w:p>
        </w:tc>
        <w:tc>
          <w:tcPr>
            <w:tcW w:w="620" w:type="pct"/>
            <w:noWrap/>
            <w:vAlign w:val="center"/>
          </w:tcPr>
          <w:p>
            <w:pPr>
              <w:pStyle w:val="44"/>
            </w:pPr>
            <w:r>
              <w:rPr>
                <w:rFonts w:hint="eastAsia"/>
              </w:rPr>
              <w:t>75.0</w:t>
            </w:r>
          </w:p>
        </w:tc>
        <w:tc>
          <w:tcPr>
            <w:tcW w:w="547" w:type="pct"/>
            <w:vMerge w:val="continue"/>
            <w:noWrap/>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72" w:type="pct"/>
            <w:vMerge w:val="restart"/>
            <w:vAlign w:val="center"/>
          </w:tcPr>
          <w:p>
            <w:pPr>
              <w:pStyle w:val="44"/>
            </w:pPr>
            <w:r>
              <w:rPr>
                <w:rFonts w:hint="eastAsia"/>
              </w:rPr>
              <w:t>粪大肠菌群</w:t>
            </w:r>
          </w:p>
        </w:tc>
        <w:tc>
          <w:tcPr>
            <w:tcW w:w="696" w:type="pct"/>
            <w:vAlign w:val="center"/>
          </w:tcPr>
          <w:p>
            <w:pPr>
              <w:pStyle w:val="44"/>
            </w:pPr>
            <w:r>
              <w:t>2024-02-28</w:t>
            </w:r>
          </w:p>
        </w:tc>
        <w:tc>
          <w:tcPr>
            <w:tcW w:w="1099" w:type="pct"/>
            <w:vAlign w:val="center"/>
          </w:tcPr>
          <w:p>
            <w:pPr>
              <w:pStyle w:val="44"/>
              <w:rPr>
                <w:highlight w:val="none"/>
              </w:rPr>
            </w:pPr>
            <w:r>
              <w:rPr>
                <w:rFonts w:hint="eastAsia"/>
                <w:highlight w:val="none"/>
              </w:rPr>
              <w:t>5.0×10³MPN/L</w:t>
            </w:r>
          </w:p>
        </w:tc>
        <w:tc>
          <w:tcPr>
            <w:tcW w:w="1062" w:type="pct"/>
            <w:vAlign w:val="center"/>
          </w:tcPr>
          <w:p>
            <w:pPr>
              <w:pStyle w:val="44"/>
              <w:rPr>
                <w:highlight w:val="none"/>
              </w:rPr>
            </w:pPr>
            <w:r>
              <w:rPr>
                <w:rFonts w:hint="eastAsia"/>
                <w:highlight w:val="none"/>
              </w:rPr>
              <w:t>20LMPN/L</w:t>
            </w:r>
          </w:p>
        </w:tc>
        <w:tc>
          <w:tcPr>
            <w:tcW w:w="620" w:type="pct"/>
            <w:noWrap/>
            <w:vAlign w:val="center"/>
          </w:tcPr>
          <w:p>
            <w:pPr>
              <w:pStyle w:val="44"/>
              <w:rPr>
                <w:highlight w:val="none"/>
              </w:rPr>
            </w:pPr>
            <w:r>
              <w:rPr>
                <w:rFonts w:hint="eastAsia"/>
                <w:highlight w:val="none"/>
              </w:rPr>
              <w:t>99.8</w:t>
            </w:r>
          </w:p>
        </w:tc>
        <w:tc>
          <w:tcPr>
            <w:tcW w:w="547" w:type="pct"/>
            <w:vMerge w:val="restart"/>
            <w:noWrap/>
            <w:vAlign w:val="center"/>
          </w:tcPr>
          <w:p>
            <w:pPr>
              <w:pStyle w:val="44"/>
              <w:rPr>
                <w:highlight w:val="none"/>
              </w:rPr>
            </w:pPr>
            <w:r>
              <w:rPr>
                <w:rFonts w:hint="eastAsia"/>
                <w:highlight w:val="none"/>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72" w:type="pct"/>
            <w:vMerge w:val="continue"/>
            <w:vAlign w:val="center"/>
          </w:tcPr>
          <w:p>
            <w:pPr>
              <w:pStyle w:val="44"/>
            </w:pPr>
          </w:p>
        </w:tc>
        <w:tc>
          <w:tcPr>
            <w:tcW w:w="696" w:type="pct"/>
            <w:vAlign w:val="center"/>
          </w:tcPr>
          <w:p>
            <w:pPr>
              <w:pStyle w:val="44"/>
            </w:pPr>
            <w:r>
              <w:t>2024-02-29</w:t>
            </w:r>
          </w:p>
        </w:tc>
        <w:tc>
          <w:tcPr>
            <w:tcW w:w="1099" w:type="pct"/>
            <w:vAlign w:val="center"/>
          </w:tcPr>
          <w:p>
            <w:pPr>
              <w:pStyle w:val="44"/>
              <w:rPr>
                <w:highlight w:val="none"/>
              </w:rPr>
            </w:pPr>
            <w:r>
              <w:rPr>
                <w:rFonts w:hint="eastAsia"/>
                <w:highlight w:val="none"/>
              </w:rPr>
              <w:t>5.7×10³MPN/L</w:t>
            </w:r>
          </w:p>
        </w:tc>
        <w:tc>
          <w:tcPr>
            <w:tcW w:w="1062" w:type="pct"/>
            <w:vAlign w:val="center"/>
          </w:tcPr>
          <w:p>
            <w:pPr>
              <w:pStyle w:val="44"/>
              <w:rPr>
                <w:highlight w:val="none"/>
              </w:rPr>
            </w:pPr>
            <w:r>
              <w:rPr>
                <w:rFonts w:hint="eastAsia"/>
                <w:highlight w:val="none"/>
              </w:rPr>
              <w:t>20LMPN/L</w:t>
            </w:r>
          </w:p>
        </w:tc>
        <w:tc>
          <w:tcPr>
            <w:tcW w:w="620" w:type="pct"/>
            <w:noWrap/>
            <w:vAlign w:val="center"/>
          </w:tcPr>
          <w:p>
            <w:pPr>
              <w:pStyle w:val="44"/>
              <w:rPr>
                <w:highlight w:val="none"/>
              </w:rPr>
            </w:pPr>
            <w:r>
              <w:rPr>
                <w:rFonts w:hint="eastAsia"/>
                <w:highlight w:val="none"/>
              </w:rPr>
              <w:t>99.8</w:t>
            </w:r>
          </w:p>
        </w:tc>
        <w:tc>
          <w:tcPr>
            <w:tcW w:w="547" w:type="pct"/>
            <w:vMerge w:val="continue"/>
            <w:noWrap/>
            <w:vAlign w:val="center"/>
          </w:tcPr>
          <w:p>
            <w:pPr>
              <w:pStyle w:val="44"/>
              <w:rPr>
                <w:highlight w:val="none"/>
              </w:rPr>
            </w:pPr>
          </w:p>
        </w:tc>
      </w:tr>
    </w:tbl>
    <w:p>
      <w:pPr>
        <w:pStyle w:val="6"/>
      </w:pPr>
      <w:r>
        <w:rPr>
          <w:rFonts w:hint="eastAsia"/>
        </w:rPr>
        <w:t>9.2.1.2废气治理设施</w:t>
      </w:r>
    </w:p>
    <w:p>
      <w:pPr>
        <w:ind w:firstLine="480"/>
        <w:jc w:val="center"/>
      </w:pPr>
      <w:r>
        <w:t>监测期间，各生产装置废气治理设施主要污染控制因子平均处理效率见表9.2-</w:t>
      </w:r>
      <w:r>
        <w:rPr>
          <w:rFonts w:hint="eastAsia"/>
        </w:rPr>
        <w:t>2</w:t>
      </w:r>
      <w:r>
        <w:t>。</w:t>
      </w:r>
    </w:p>
    <w:p>
      <w:pPr>
        <w:ind w:firstLine="480"/>
        <w:jc w:val="center"/>
        <w:rPr>
          <w:rFonts w:eastAsia="黑体"/>
        </w:rPr>
      </w:pPr>
    </w:p>
    <w:p>
      <w:pPr>
        <w:ind w:firstLine="480"/>
        <w:jc w:val="center"/>
        <w:rPr>
          <w:rFonts w:eastAsia="黑体"/>
        </w:rPr>
      </w:pPr>
    </w:p>
    <w:p>
      <w:pPr>
        <w:ind w:firstLine="480"/>
        <w:jc w:val="center"/>
        <w:rPr>
          <w:rFonts w:eastAsia="黑体"/>
        </w:rPr>
      </w:pPr>
    </w:p>
    <w:p>
      <w:pPr>
        <w:ind w:firstLine="480"/>
        <w:jc w:val="center"/>
        <w:rPr>
          <w:rFonts w:eastAsia="黑体"/>
        </w:rPr>
      </w:pPr>
      <w:r>
        <w:rPr>
          <w:rFonts w:eastAsia="黑体"/>
        </w:rPr>
        <w:t>表9.2-</w:t>
      </w:r>
      <w:r>
        <w:rPr>
          <w:rFonts w:hint="eastAsia" w:eastAsia="黑体"/>
        </w:rPr>
        <w:t>2</w:t>
      </w:r>
      <w:r>
        <w:rPr>
          <w:rFonts w:eastAsia="黑体"/>
        </w:rPr>
        <w:t>各废气治理设施平均处理效率</w:t>
      </w:r>
    </w:p>
    <w:tbl>
      <w:tblPr>
        <w:tblStyle w:val="3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6"/>
        <w:gridCol w:w="1399"/>
        <w:gridCol w:w="1323"/>
        <w:gridCol w:w="1514"/>
        <w:gridCol w:w="1376"/>
        <w:gridCol w:w="851"/>
        <w:gridCol w:w="772"/>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07" w:type="pct"/>
            <w:tcMar>
              <w:top w:w="15" w:type="dxa"/>
              <w:left w:w="15" w:type="dxa"/>
              <w:right w:w="15" w:type="dxa"/>
            </w:tcMar>
            <w:vAlign w:val="center"/>
          </w:tcPr>
          <w:p>
            <w:pPr>
              <w:pStyle w:val="44"/>
              <w:rPr>
                <w:szCs w:val="21"/>
              </w:rPr>
            </w:pPr>
            <w:r>
              <w:rPr>
                <w:szCs w:val="21"/>
              </w:rPr>
              <w:t>日期</w:t>
            </w:r>
          </w:p>
        </w:tc>
        <w:tc>
          <w:tcPr>
            <w:tcW w:w="741" w:type="pct"/>
            <w:tcMar>
              <w:top w:w="15" w:type="dxa"/>
              <w:left w:w="15" w:type="dxa"/>
              <w:right w:w="15" w:type="dxa"/>
            </w:tcMar>
            <w:vAlign w:val="center"/>
          </w:tcPr>
          <w:p>
            <w:pPr>
              <w:pStyle w:val="44"/>
              <w:rPr>
                <w:szCs w:val="21"/>
              </w:rPr>
            </w:pPr>
            <w:r>
              <w:rPr>
                <w:szCs w:val="21"/>
              </w:rPr>
              <w:t>装置名称</w:t>
            </w:r>
          </w:p>
        </w:tc>
        <w:tc>
          <w:tcPr>
            <w:tcW w:w="701" w:type="pct"/>
            <w:tcMar>
              <w:top w:w="15" w:type="dxa"/>
              <w:left w:w="15" w:type="dxa"/>
              <w:right w:w="15" w:type="dxa"/>
            </w:tcMar>
            <w:vAlign w:val="center"/>
          </w:tcPr>
          <w:p>
            <w:pPr>
              <w:pStyle w:val="44"/>
              <w:rPr>
                <w:szCs w:val="21"/>
              </w:rPr>
            </w:pPr>
            <w:r>
              <w:rPr>
                <w:szCs w:val="21"/>
              </w:rPr>
              <w:t>污染物</w:t>
            </w:r>
          </w:p>
        </w:tc>
        <w:tc>
          <w:tcPr>
            <w:tcW w:w="802" w:type="pct"/>
            <w:tcMar>
              <w:top w:w="15" w:type="dxa"/>
              <w:left w:w="15" w:type="dxa"/>
              <w:right w:w="15" w:type="dxa"/>
            </w:tcMar>
            <w:vAlign w:val="center"/>
          </w:tcPr>
          <w:p>
            <w:pPr>
              <w:pStyle w:val="44"/>
              <w:rPr>
                <w:kern w:val="0"/>
                <w:szCs w:val="21"/>
                <w:lang w:bidi="ar"/>
              </w:rPr>
            </w:pPr>
            <w:r>
              <w:rPr>
                <w:kern w:val="0"/>
                <w:szCs w:val="21"/>
                <w:lang w:bidi="ar"/>
              </w:rPr>
              <w:t>环保设施进口</w:t>
            </w:r>
          </w:p>
          <w:p>
            <w:pPr>
              <w:pStyle w:val="44"/>
              <w:rPr>
                <w:szCs w:val="21"/>
              </w:rPr>
            </w:pPr>
            <w:r>
              <w:rPr>
                <w:kern w:val="0"/>
                <w:szCs w:val="21"/>
                <w:lang w:bidi="ar"/>
              </w:rPr>
              <w:t>排放速率(kg/h)</w:t>
            </w:r>
          </w:p>
        </w:tc>
        <w:tc>
          <w:tcPr>
            <w:tcW w:w="729" w:type="pct"/>
            <w:tcMar>
              <w:top w:w="15" w:type="dxa"/>
              <w:left w:w="15" w:type="dxa"/>
              <w:right w:w="15" w:type="dxa"/>
            </w:tcMar>
            <w:vAlign w:val="center"/>
          </w:tcPr>
          <w:p>
            <w:pPr>
              <w:pStyle w:val="44"/>
              <w:rPr>
                <w:kern w:val="0"/>
                <w:szCs w:val="21"/>
                <w:lang w:bidi="ar"/>
              </w:rPr>
            </w:pPr>
            <w:r>
              <w:rPr>
                <w:kern w:val="0"/>
                <w:szCs w:val="21"/>
                <w:lang w:bidi="ar"/>
              </w:rPr>
              <w:t>排气筒排放</w:t>
            </w:r>
          </w:p>
          <w:p>
            <w:pPr>
              <w:pStyle w:val="44"/>
              <w:rPr>
                <w:szCs w:val="21"/>
              </w:rPr>
            </w:pPr>
            <w:r>
              <w:rPr>
                <w:kern w:val="0"/>
                <w:szCs w:val="21"/>
                <w:lang w:bidi="ar"/>
              </w:rPr>
              <w:t>速率(kg/h)</w:t>
            </w:r>
          </w:p>
        </w:tc>
        <w:tc>
          <w:tcPr>
            <w:tcW w:w="860" w:type="pct"/>
            <w:gridSpan w:val="2"/>
            <w:tcMar>
              <w:top w:w="15" w:type="dxa"/>
              <w:left w:w="15" w:type="dxa"/>
              <w:right w:w="15" w:type="dxa"/>
            </w:tcMar>
            <w:vAlign w:val="center"/>
          </w:tcPr>
          <w:p>
            <w:pPr>
              <w:pStyle w:val="44"/>
              <w:rPr>
                <w:szCs w:val="21"/>
              </w:rPr>
            </w:pPr>
            <w:r>
              <w:rPr>
                <w:szCs w:val="21"/>
              </w:rPr>
              <w:t>处理效率（%）</w:t>
            </w:r>
          </w:p>
        </w:tc>
        <w:tc>
          <w:tcPr>
            <w:tcW w:w="556" w:type="pct"/>
            <w:tcMar>
              <w:top w:w="15" w:type="dxa"/>
              <w:left w:w="15" w:type="dxa"/>
              <w:right w:w="15" w:type="dxa"/>
            </w:tcMar>
            <w:vAlign w:val="center"/>
          </w:tcPr>
          <w:p>
            <w:pPr>
              <w:pStyle w:val="44"/>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07" w:type="pct"/>
            <w:tcMar>
              <w:top w:w="15" w:type="dxa"/>
              <w:left w:w="15" w:type="dxa"/>
              <w:right w:w="15" w:type="dxa"/>
            </w:tcMar>
            <w:vAlign w:val="center"/>
          </w:tcPr>
          <w:p>
            <w:pPr>
              <w:pStyle w:val="44"/>
              <w:rPr>
                <w:szCs w:val="21"/>
              </w:rPr>
            </w:pPr>
            <w:r>
              <w:rPr>
                <w:rFonts w:hint="eastAsia"/>
              </w:rPr>
              <w:t>2023.12.14</w:t>
            </w:r>
          </w:p>
        </w:tc>
        <w:tc>
          <w:tcPr>
            <w:tcW w:w="741" w:type="pct"/>
            <w:vMerge w:val="restart"/>
            <w:tcMar>
              <w:top w:w="15" w:type="dxa"/>
              <w:left w:w="15" w:type="dxa"/>
              <w:right w:w="15" w:type="dxa"/>
            </w:tcMar>
            <w:vAlign w:val="center"/>
          </w:tcPr>
          <w:p>
            <w:pPr>
              <w:pStyle w:val="44"/>
              <w:rPr>
                <w:szCs w:val="21"/>
              </w:rPr>
            </w:pPr>
            <w:r>
              <w:rPr>
                <w:szCs w:val="21"/>
              </w:rPr>
              <w:t>机加工排气</w:t>
            </w:r>
          </w:p>
          <w:p>
            <w:pPr>
              <w:pStyle w:val="44"/>
              <w:rPr>
                <w:szCs w:val="21"/>
              </w:rPr>
            </w:pPr>
            <w:r>
              <w:rPr>
                <w:szCs w:val="21"/>
              </w:rPr>
              <w:t xml:space="preserve">筒 DA001 </w:t>
            </w:r>
          </w:p>
        </w:tc>
        <w:tc>
          <w:tcPr>
            <w:tcW w:w="701" w:type="pct"/>
            <w:tcMar>
              <w:top w:w="15" w:type="dxa"/>
              <w:left w:w="15" w:type="dxa"/>
              <w:right w:w="15" w:type="dxa"/>
            </w:tcMar>
            <w:vAlign w:val="center"/>
          </w:tcPr>
          <w:p>
            <w:pPr>
              <w:pStyle w:val="44"/>
              <w:rPr>
                <w:szCs w:val="21"/>
              </w:rPr>
            </w:pPr>
            <w:r>
              <w:rPr>
                <w:rFonts w:hint="eastAsia"/>
                <w:kern w:val="0"/>
                <w:szCs w:val="21"/>
                <w:lang w:bidi="ar"/>
              </w:rPr>
              <w:t>颗粒物</w:t>
            </w:r>
          </w:p>
        </w:tc>
        <w:tc>
          <w:tcPr>
            <w:tcW w:w="802" w:type="pct"/>
            <w:tcMar>
              <w:top w:w="15" w:type="dxa"/>
              <w:left w:w="15" w:type="dxa"/>
              <w:right w:w="15" w:type="dxa"/>
            </w:tcMar>
            <w:vAlign w:val="center"/>
          </w:tcPr>
          <w:p>
            <w:pPr>
              <w:pStyle w:val="44"/>
            </w:pPr>
            <w:r>
              <w:rPr>
                <w:rFonts w:hint="eastAsia"/>
              </w:rPr>
              <w:t>0.26</w:t>
            </w:r>
          </w:p>
        </w:tc>
        <w:tc>
          <w:tcPr>
            <w:tcW w:w="729" w:type="pct"/>
            <w:tcMar>
              <w:top w:w="15" w:type="dxa"/>
              <w:left w:w="15" w:type="dxa"/>
              <w:right w:w="15" w:type="dxa"/>
            </w:tcMar>
            <w:vAlign w:val="center"/>
          </w:tcPr>
          <w:p>
            <w:pPr>
              <w:pStyle w:val="44"/>
            </w:pPr>
            <w:r>
              <w:rPr>
                <w:rFonts w:hint="eastAsia"/>
              </w:rPr>
              <w:t>0.015</w:t>
            </w:r>
          </w:p>
        </w:tc>
        <w:tc>
          <w:tcPr>
            <w:tcW w:w="451" w:type="pct"/>
            <w:tcMar>
              <w:top w:w="15" w:type="dxa"/>
              <w:left w:w="15" w:type="dxa"/>
              <w:right w:w="15" w:type="dxa"/>
            </w:tcMar>
            <w:vAlign w:val="center"/>
          </w:tcPr>
          <w:p>
            <w:pPr>
              <w:pStyle w:val="44"/>
            </w:pPr>
            <w:r>
              <w:rPr>
                <w:rFonts w:hint="eastAsia"/>
              </w:rPr>
              <w:t>94.2</w:t>
            </w:r>
          </w:p>
        </w:tc>
        <w:tc>
          <w:tcPr>
            <w:tcW w:w="409" w:type="pct"/>
            <w:vMerge w:val="restart"/>
            <w:tcMar>
              <w:top w:w="15" w:type="dxa"/>
              <w:left w:w="15" w:type="dxa"/>
              <w:right w:w="15" w:type="dxa"/>
            </w:tcMar>
            <w:vAlign w:val="center"/>
          </w:tcPr>
          <w:p>
            <w:pPr>
              <w:pStyle w:val="44"/>
            </w:pPr>
            <w:r>
              <w:rPr>
                <w:rFonts w:hint="eastAsia"/>
              </w:rPr>
              <w:t>94.3</w:t>
            </w:r>
          </w:p>
        </w:tc>
        <w:tc>
          <w:tcPr>
            <w:tcW w:w="556" w:type="pct"/>
            <w:vMerge w:val="restart"/>
            <w:tcMar>
              <w:top w:w="15" w:type="dxa"/>
              <w:left w:w="15" w:type="dxa"/>
              <w:right w:w="15" w:type="dxa"/>
            </w:tcMar>
            <w:vAlign w:val="center"/>
          </w:tcPr>
          <w:p>
            <w:pPr>
              <w:pStyle w:val="44"/>
              <w:rPr>
                <w:highlight w:val="yellow"/>
              </w:rPr>
            </w:pPr>
            <w:r>
              <w:rPr>
                <w:rFonts w:hint="eastAsia"/>
                <w:sz w:val="18"/>
                <w:szCs w:val="18"/>
              </w:rPr>
              <w:t>废气治理设施进气口浓度较低</w:t>
            </w:r>
            <w:r>
              <w:rPr>
                <w:rFonts w:hint="eastAsia" w:ascii="宋体" w:hAnsi="宋体" w:cs="宋体"/>
                <w:color w:val="000000"/>
                <w:kern w:val="0"/>
                <w:sz w:val="20"/>
                <w:lang w:bidi="ar"/>
              </w:rPr>
              <w:t>，所以处理效率低于环评预测效率。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607" w:type="pct"/>
            <w:tcMar>
              <w:top w:w="15" w:type="dxa"/>
              <w:left w:w="15" w:type="dxa"/>
              <w:right w:w="15" w:type="dxa"/>
            </w:tcMar>
            <w:vAlign w:val="center"/>
          </w:tcPr>
          <w:p>
            <w:pPr>
              <w:pStyle w:val="44"/>
              <w:rPr>
                <w:szCs w:val="21"/>
              </w:rPr>
            </w:pPr>
            <w:r>
              <w:rPr>
                <w:rFonts w:hint="eastAsia"/>
              </w:rPr>
              <w:t>2023.12.15</w:t>
            </w:r>
          </w:p>
        </w:tc>
        <w:tc>
          <w:tcPr>
            <w:tcW w:w="741" w:type="pct"/>
            <w:vMerge w:val="continue"/>
            <w:tcMar>
              <w:top w:w="15" w:type="dxa"/>
              <w:left w:w="15" w:type="dxa"/>
              <w:right w:w="15" w:type="dxa"/>
            </w:tcMar>
            <w:vAlign w:val="center"/>
          </w:tcPr>
          <w:p>
            <w:pPr>
              <w:pStyle w:val="44"/>
              <w:rPr>
                <w:szCs w:val="21"/>
              </w:rPr>
            </w:pPr>
          </w:p>
        </w:tc>
        <w:tc>
          <w:tcPr>
            <w:tcW w:w="701" w:type="pct"/>
            <w:tcMar>
              <w:top w:w="15" w:type="dxa"/>
              <w:left w:w="15" w:type="dxa"/>
              <w:right w:w="15" w:type="dxa"/>
            </w:tcMar>
            <w:vAlign w:val="center"/>
          </w:tcPr>
          <w:p>
            <w:pPr>
              <w:pStyle w:val="44"/>
              <w:rPr>
                <w:szCs w:val="21"/>
              </w:rPr>
            </w:pPr>
            <w:r>
              <w:rPr>
                <w:rFonts w:hint="eastAsia"/>
                <w:kern w:val="0"/>
                <w:szCs w:val="21"/>
                <w:lang w:bidi="ar"/>
              </w:rPr>
              <w:t>颗粒物</w:t>
            </w:r>
          </w:p>
        </w:tc>
        <w:tc>
          <w:tcPr>
            <w:tcW w:w="802" w:type="pct"/>
            <w:tcMar>
              <w:top w:w="15" w:type="dxa"/>
              <w:left w:w="15" w:type="dxa"/>
              <w:right w:w="15" w:type="dxa"/>
            </w:tcMar>
            <w:vAlign w:val="center"/>
          </w:tcPr>
          <w:p>
            <w:pPr>
              <w:pStyle w:val="44"/>
            </w:pPr>
            <w:r>
              <w:rPr>
                <w:rFonts w:hint="eastAsia"/>
              </w:rPr>
              <w:t>0.25</w:t>
            </w:r>
          </w:p>
        </w:tc>
        <w:tc>
          <w:tcPr>
            <w:tcW w:w="729" w:type="pct"/>
            <w:tcMar>
              <w:top w:w="15" w:type="dxa"/>
              <w:left w:w="15" w:type="dxa"/>
              <w:right w:w="15" w:type="dxa"/>
            </w:tcMar>
            <w:vAlign w:val="center"/>
          </w:tcPr>
          <w:p>
            <w:pPr>
              <w:pStyle w:val="44"/>
            </w:pPr>
            <w:r>
              <w:rPr>
                <w:rFonts w:hint="eastAsia"/>
              </w:rPr>
              <w:t>0.014</w:t>
            </w:r>
          </w:p>
        </w:tc>
        <w:tc>
          <w:tcPr>
            <w:tcW w:w="451" w:type="pct"/>
            <w:tcMar>
              <w:top w:w="15" w:type="dxa"/>
              <w:left w:w="15" w:type="dxa"/>
              <w:right w:w="15" w:type="dxa"/>
            </w:tcMar>
            <w:vAlign w:val="center"/>
          </w:tcPr>
          <w:p>
            <w:pPr>
              <w:pStyle w:val="44"/>
            </w:pPr>
            <w:r>
              <w:rPr>
                <w:rFonts w:hint="eastAsia"/>
              </w:rPr>
              <w:t>94.4</w:t>
            </w:r>
          </w:p>
        </w:tc>
        <w:tc>
          <w:tcPr>
            <w:tcW w:w="409" w:type="pct"/>
            <w:vMerge w:val="continue"/>
            <w:tcMar>
              <w:top w:w="15" w:type="dxa"/>
              <w:left w:w="15" w:type="dxa"/>
              <w:right w:w="15" w:type="dxa"/>
            </w:tcMar>
            <w:vAlign w:val="center"/>
          </w:tcPr>
          <w:p>
            <w:pPr>
              <w:pStyle w:val="44"/>
            </w:pPr>
          </w:p>
        </w:tc>
        <w:tc>
          <w:tcPr>
            <w:tcW w:w="556" w:type="pct"/>
            <w:vMerge w:val="continue"/>
            <w:tcMar>
              <w:top w:w="15" w:type="dxa"/>
              <w:left w:w="15" w:type="dxa"/>
              <w:right w:w="15" w:type="dxa"/>
            </w:tcMar>
            <w:vAlign w:val="center"/>
          </w:tcPr>
          <w:p>
            <w:pPr>
              <w:pStyle w:val="44"/>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607" w:type="pct"/>
            <w:tcMar>
              <w:top w:w="15" w:type="dxa"/>
              <w:left w:w="15" w:type="dxa"/>
              <w:right w:w="15" w:type="dxa"/>
            </w:tcMar>
            <w:vAlign w:val="center"/>
          </w:tcPr>
          <w:p>
            <w:pPr>
              <w:pStyle w:val="44"/>
            </w:pPr>
            <w:r>
              <w:rPr>
                <w:rFonts w:hint="eastAsia"/>
              </w:rPr>
              <w:t>2023.12.14</w:t>
            </w:r>
          </w:p>
        </w:tc>
        <w:tc>
          <w:tcPr>
            <w:tcW w:w="741" w:type="pct"/>
            <w:vMerge w:val="restart"/>
            <w:tcMar>
              <w:top w:w="15" w:type="dxa"/>
              <w:left w:w="15" w:type="dxa"/>
              <w:right w:w="15" w:type="dxa"/>
            </w:tcMar>
            <w:vAlign w:val="center"/>
          </w:tcPr>
          <w:p>
            <w:pPr>
              <w:pStyle w:val="44"/>
              <w:rPr>
                <w:szCs w:val="21"/>
              </w:rPr>
            </w:pPr>
            <w:r>
              <w:rPr>
                <w:szCs w:val="21"/>
              </w:rPr>
              <w:t>喷</w:t>
            </w:r>
            <w:r>
              <w:rPr>
                <w:rFonts w:hint="eastAsia"/>
                <w:szCs w:val="21"/>
              </w:rPr>
              <w:t>粉</w:t>
            </w:r>
            <w:r>
              <w:rPr>
                <w:szCs w:val="21"/>
              </w:rPr>
              <w:t>排气筒</w:t>
            </w:r>
          </w:p>
          <w:p>
            <w:pPr>
              <w:pStyle w:val="44"/>
              <w:rPr>
                <w:szCs w:val="21"/>
              </w:rPr>
            </w:pPr>
            <w:r>
              <w:rPr>
                <w:szCs w:val="21"/>
              </w:rPr>
              <w:t xml:space="preserve">DA002 </w:t>
            </w:r>
          </w:p>
        </w:tc>
        <w:tc>
          <w:tcPr>
            <w:tcW w:w="701" w:type="pct"/>
            <w:tcMar>
              <w:top w:w="15" w:type="dxa"/>
              <w:left w:w="15" w:type="dxa"/>
              <w:right w:w="15" w:type="dxa"/>
            </w:tcMar>
            <w:vAlign w:val="center"/>
          </w:tcPr>
          <w:p>
            <w:pPr>
              <w:pStyle w:val="44"/>
              <w:rPr>
                <w:kern w:val="0"/>
                <w:szCs w:val="21"/>
                <w:lang w:bidi="ar"/>
              </w:rPr>
            </w:pPr>
            <w:r>
              <w:rPr>
                <w:rFonts w:hint="eastAsia"/>
                <w:kern w:val="0"/>
                <w:szCs w:val="21"/>
                <w:lang w:bidi="ar"/>
              </w:rPr>
              <w:t>颗粒物</w:t>
            </w:r>
          </w:p>
        </w:tc>
        <w:tc>
          <w:tcPr>
            <w:tcW w:w="802" w:type="pct"/>
            <w:tcMar>
              <w:top w:w="15" w:type="dxa"/>
              <w:left w:w="15" w:type="dxa"/>
              <w:right w:w="15" w:type="dxa"/>
            </w:tcMar>
            <w:vAlign w:val="center"/>
          </w:tcPr>
          <w:p>
            <w:pPr>
              <w:pStyle w:val="44"/>
            </w:pPr>
            <w:r>
              <w:rPr>
                <w:rFonts w:hint="eastAsia"/>
              </w:rPr>
              <w:t>0.32</w:t>
            </w:r>
          </w:p>
        </w:tc>
        <w:tc>
          <w:tcPr>
            <w:tcW w:w="729" w:type="pct"/>
            <w:tcMar>
              <w:top w:w="15" w:type="dxa"/>
              <w:left w:w="15" w:type="dxa"/>
              <w:right w:w="15" w:type="dxa"/>
            </w:tcMar>
            <w:vAlign w:val="center"/>
          </w:tcPr>
          <w:p>
            <w:pPr>
              <w:pStyle w:val="44"/>
            </w:pPr>
            <w:r>
              <w:rPr>
                <w:rFonts w:hint="eastAsia"/>
              </w:rPr>
              <w:t>0.019</w:t>
            </w:r>
          </w:p>
        </w:tc>
        <w:tc>
          <w:tcPr>
            <w:tcW w:w="451" w:type="pct"/>
            <w:tcMar>
              <w:top w:w="15" w:type="dxa"/>
              <w:left w:w="15" w:type="dxa"/>
              <w:right w:w="15" w:type="dxa"/>
            </w:tcMar>
            <w:vAlign w:val="center"/>
          </w:tcPr>
          <w:p>
            <w:pPr>
              <w:pStyle w:val="44"/>
            </w:pPr>
            <w:r>
              <w:rPr>
                <w:rFonts w:hint="eastAsia"/>
              </w:rPr>
              <w:t>94.1</w:t>
            </w:r>
          </w:p>
        </w:tc>
        <w:tc>
          <w:tcPr>
            <w:tcW w:w="409" w:type="pct"/>
            <w:vMerge w:val="restart"/>
            <w:tcMar>
              <w:top w:w="15" w:type="dxa"/>
              <w:left w:w="15" w:type="dxa"/>
              <w:right w:w="15" w:type="dxa"/>
            </w:tcMar>
            <w:vAlign w:val="center"/>
          </w:tcPr>
          <w:p>
            <w:pPr>
              <w:pStyle w:val="44"/>
            </w:pPr>
            <w:r>
              <w:rPr>
                <w:rFonts w:hint="eastAsia"/>
              </w:rPr>
              <w:t>94.2</w:t>
            </w:r>
          </w:p>
        </w:tc>
        <w:tc>
          <w:tcPr>
            <w:tcW w:w="556" w:type="pct"/>
            <w:vMerge w:val="continue"/>
            <w:tcMar>
              <w:top w:w="15" w:type="dxa"/>
              <w:left w:w="15" w:type="dxa"/>
              <w:right w:w="15" w:type="dxa"/>
            </w:tcMar>
            <w:vAlign w:val="center"/>
          </w:tcPr>
          <w:p>
            <w:pPr>
              <w:pStyle w:val="44"/>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607" w:type="pct"/>
            <w:tcMar>
              <w:top w:w="15" w:type="dxa"/>
              <w:left w:w="15" w:type="dxa"/>
              <w:right w:w="15" w:type="dxa"/>
            </w:tcMar>
            <w:vAlign w:val="center"/>
          </w:tcPr>
          <w:p>
            <w:pPr>
              <w:pStyle w:val="44"/>
            </w:pPr>
            <w:r>
              <w:rPr>
                <w:rFonts w:hint="eastAsia"/>
              </w:rPr>
              <w:t>2023.12.15</w:t>
            </w:r>
          </w:p>
        </w:tc>
        <w:tc>
          <w:tcPr>
            <w:tcW w:w="741" w:type="pct"/>
            <w:vMerge w:val="continue"/>
            <w:tcMar>
              <w:top w:w="15" w:type="dxa"/>
              <w:left w:w="15" w:type="dxa"/>
              <w:right w:w="15" w:type="dxa"/>
            </w:tcMar>
            <w:vAlign w:val="center"/>
          </w:tcPr>
          <w:p>
            <w:pPr>
              <w:pStyle w:val="44"/>
              <w:rPr>
                <w:szCs w:val="21"/>
              </w:rPr>
            </w:pPr>
          </w:p>
        </w:tc>
        <w:tc>
          <w:tcPr>
            <w:tcW w:w="701" w:type="pct"/>
            <w:tcMar>
              <w:top w:w="15" w:type="dxa"/>
              <w:left w:w="15" w:type="dxa"/>
              <w:right w:w="15" w:type="dxa"/>
            </w:tcMar>
            <w:vAlign w:val="center"/>
          </w:tcPr>
          <w:p>
            <w:pPr>
              <w:pStyle w:val="44"/>
              <w:rPr>
                <w:kern w:val="0"/>
                <w:szCs w:val="21"/>
                <w:lang w:bidi="ar"/>
              </w:rPr>
            </w:pPr>
            <w:r>
              <w:rPr>
                <w:rFonts w:hint="eastAsia"/>
                <w:kern w:val="0"/>
                <w:szCs w:val="21"/>
                <w:lang w:bidi="ar"/>
              </w:rPr>
              <w:t>颗粒物</w:t>
            </w:r>
          </w:p>
        </w:tc>
        <w:tc>
          <w:tcPr>
            <w:tcW w:w="802" w:type="pct"/>
            <w:tcMar>
              <w:top w:w="15" w:type="dxa"/>
              <w:left w:w="15" w:type="dxa"/>
              <w:right w:w="15" w:type="dxa"/>
            </w:tcMar>
            <w:vAlign w:val="center"/>
          </w:tcPr>
          <w:p>
            <w:pPr>
              <w:pStyle w:val="44"/>
            </w:pPr>
            <w:r>
              <w:rPr>
                <w:rFonts w:hint="eastAsia"/>
              </w:rPr>
              <w:t>0.33</w:t>
            </w:r>
          </w:p>
        </w:tc>
        <w:tc>
          <w:tcPr>
            <w:tcW w:w="729" w:type="pct"/>
            <w:tcMar>
              <w:top w:w="15" w:type="dxa"/>
              <w:left w:w="15" w:type="dxa"/>
              <w:right w:w="15" w:type="dxa"/>
            </w:tcMar>
            <w:vAlign w:val="center"/>
          </w:tcPr>
          <w:p>
            <w:pPr>
              <w:pStyle w:val="44"/>
            </w:pPr>
            <w:r>
              <w:rPr>
                <w:rFonts w:hint="eastAsia"/>
              </w:rPr>
              <w:t>0.019</w:t>
            </w:r>
          </w:p>
        </w:tc>
        <w:tc>
          <w:tcPr>
            <w:tcW w:w="451" w:type="pct"/>
            <w:tcMar>
              <w:top w:w="15" w:type="dxa"/>
              <w:left w:w="15" w:type="dxa"/>
              <w:right w:w="15" w:type="dxa"/>
            </w:tcMar>
            <w:vAlign w:val="center"/>
          </w:tcPr>
          <w:p>
            <w:pPr>
              <w:pStyle w:val="44"/>
            </w:pPr>
            <w:r>
              <w:rPr>
                <w:rFonts w:hint="eastAsia"/>
              </w:rPr>
              <w:t>94.2</w:t>
            </w:r>
          </w:p>
        </w:tc>
        <w:tc>
          <w:tcPr>
            <w:tcW w:w="409" w:type="pct"/>
            <w:vMerge w:val="continue"/>
            <w:tcMar>
              <w:top w:w="15" w:type="dxa"/>
              <w:left w:w="15" w:type="dxa"/>
              <w:right w:w="15" w:type="dxa"/>
            </w:tcMar>
            <w:vAlign w:val="center"/>
          </w:tcPr>
          <w:p>
            <w:pPr>
              <w:pStyle w:val="44"/>
            </w:pPr>
          </w:p>
        </w:tc>
        <w:tc>
          <w:tcPr>
            <w:tcW w:w="556" w:type="pct"/>
            <w:vMerge w:val="continue"/>
            <w:tcMar>
              <w:top w:w="15" w:type="dxa"/>
              <w:left w:w="15" w:type="dxa"/>
              <w:right w:w="15" w:type="dxa"/>
            </w:tcMar>
            <w:vAlign w:val="center"/>
          </w:tcPr>
          <w:p>
            <w:pPr>
              <w:pStyle w:val="44"/>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07" w:type="pct"/>
            <w:tcMar>
              <w:top w:w="15" w:type="dxa"/>
              <w:left w:w="15" w:type="dxa"/>
              <w:right w:w="15" w:type="dxa"/>
            </w:tcMar>
            <w:vAlign w:val="center"/>
          </w:tcPr>
          <w:p>
            <w:pPr>
              <w:pStyle w:val="44"/>
              <w:rPr>
                <w:szCs w:val="21"/>
              </w:rPr>
            </w:pPr>
            <w:r>
              <w:rPr>
                <w:rFonts w:hint="eastAsia"/>
              </w:rPr>
              <w:t>2023.12.13</w:t>
            </w:r>
          </w:p>
        </w:tc>
        <w:tc>
          <w:tcPr>
            <w:tcW w:w="741" w:type="pct"/>
            <w:vMerge w:val="restart"/>
            <w:tcMar>
              <w:top w:w="15" w:type="dxa"/>
              <w:left w:w="15" w:type="dxa"/>
              <w:right w:w="15" w:type="dxa"/>
            </w:tcMar>
            <w:vAlign w:val="center"/>
          </w:tcPr>
          <w:p>
            <w:pPr>
              <w:pStyle w:val="44"/>
              <w:rPr>
                <w:szCs w:val="21"/>
              </w:rPr>
            </w:pPr>
            <w:r>
              <w:rPr>
                <w:szCs w:val="21"/>
              </w:rPr>
              <w:t>活性炭吸附浓缩喷漆固化排</w:t>
            </w:r>
          </w:p>
          <w:p>
            <w:pPr>
              <w:pStyle w:val="44"/>
              <w:rPr>
                <w:szCs w:val="21"/>
              </w:rPr>
            </w:pPr>
            <w:r>
              <w:rPr>
                <w:szCs w:val="21"/>
              </w:rPr>
              <w:t>气筒 DA003</w:t>
            </w:r>
          </w:p>
        </w:tc>
        <w:tc>
          <w:tcPr>
            <w:tcW w:w="701" w:type="pct"/>
            <w:tcMar>
              <w:top w:w="15" w:type="dxa"/>
              <w:left w:w="15" w:type="dxa"/>
              <w:right w:w="15" w:type="dxa"/>
            </w:tcMar>
            <w:vAlign w:val="center"/>
          </w:tcPr>
          <w:p>
            <w:pPr>
              <w:pStyle w:val="44"/>
              <w:rPr>
                <w:szCs w:val="21"/>
              </w:rPr>
            </w:pPr>
            <w:r>
              <w:rPr>
                <w:rFonts w:hint="eastAsia"/>
                <w:kern w:val="0"/>
                <w:szCs w:val="21"/>
                <w:lang w:bidi="ar"/>
              </w:rPr>
              <w:t>颗粒物</w:t>
            </w:r>
          </w:p>
        </w:tc>
        <w:tc>
          <w:tcPr>
            <w:tcW w:w="802" w:type="pct"/>
            <w:tcMar>
              <w:top w:w="15" w:type="dxa"/>
              <w:left w:w="15" w:type="dxa"/>
              <w:right w:w="15" w:type="dxa"/>
            </w:tcMar>
            <w:vAlign w:val="center"/>
          </w:tcPr>
          <w:p>
            <w:pPr>
              <w:pStyle w:val="44"/>
            </w:pPr>
            <w:r>
              <w:rPr>
                <w:rFonts w:hint="eastAsia"/>
              </w:rPr>
              <w:t>0.22</w:t>
            </w:r>
          </w:p>
        </w:tc>
        <w:tc>
          <w:tcPr>
            <w:tcW w:w="729" w:type="pct"/>
            <w:tcMar>
              <w:top w:w="15" w:type="dxa"/>
              <w:left w:w="15" w:type="dxa"/>
              <w:right w:w="15" w:type="dxa"/>
            </w:tcMar>
            <w:vAlign w:val="center"/>
          </w:tcPr>
          <w:p>
            <w:pPr>
              <w:pStyle w:val="44"/>
            </w:pPr>
            <w:r>
              <w:rPr>
                <w:rFonts w:hint="eastAsia"/>
              </w:rPr>
              <w:t>0.014</w:t>
            </w:r>
          </w:p>
        </w:tc>
        <w:tc>
          <w:tcPr>
            <w:tcW w:w="451" w:type="pct"/>
            <w:tcMar>
              <w:top w:w="15" w:type="dxa"/>
              <w:left w:w="15" w:type="dxa"/>
              <w:right w:w="15" w:type="dxa"/>
            </w:tcMar>
            <w:vAlign w:val="center"/>
          </w:tcPr>
          <w:p>
            <w:pPr>
              <w:pStyle w:val="44"/>
            </w:pPr>
            <w:r>
              <w:rPr>
                <w:rFonts w:hint="eastAsia"/>
              </w:rPr>
              <w:t>93.6</w:t>
            </w:r>
          </w:p>
        </w:tc>
        <w:tc>
          <w:tcPr>
            <w:tcW w:w="409" w:type="pct"/>
            <w:vMerge w:val="restart"/>
            <w:tcMar>
              <w:top w:w="15" w:type="dxa"/>
              <w:left w:w="15" w:type="dxa"/>
              <w:right w:w="15" w:type="dxa"/>
            </w:tcMar>
            <w:vAlign w:val="center"/>
          </w:tcPr>
          <w:p>
            <w:pPr>
              <w:pStyle w:val="44"/>
            </w:pPr>
            <w:r>
              <w:rPr>
                <w:rFonts w:hint="eastAsia"/>
              </w:rPr>
              <w:t>93.4</w:t>
            </w:r>
          </w:p>
        </w:tc>
        <w:tc>
          <w:tcPr>
            <w:tcW w:w="556" w:type="pct"/>
            <w:vMerge w:val="continue"/>
            <w:tcMar>
              <w:top w:w="15" w:type="dxa"/>
              <w:left w:w="15" w:type="dxa"/>
              <w:right w:w="15" w:type="dxa"/>
            </w:tcMar>
            <w:vAlign w:val="center"/>
          </w:tcPr>
          <w:p>
            <w:pPr>
              <w:pStyle w:val="44"/>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07" w:type="pct"/>
            <w:tcMar>
              <w:top w:w="15" w:type="dxa"/>
              <w:left w:w="15" w:type="dxa"/>
              <w:right w:w="15" w:type="dxa"/>
            </w:tcMar>
            <w:vAlign w:val="center"/>
          </w:tcPr>
          <w:p>
            <w:pPr>
              <w:pStyle w:val="44"/>
            </w:pPr>
            <w:r>
              <w:rPr>
                <w:rFonts w:hint="eastAsia"/>
              </w:rPr>
              <w:t>2023.12.14</w:t>
            </w:r>
          </w:p>
        </w:tc>
        <w:tc>
          <w:tcPr>
            <w:tcW w:w="741" w:type="pct"/>
            <w:vMerge w:val="continue"/>
            <w:tcMar>
              <w:top w:w="15" w:type="dxa"/>
              <w:left w:w="15" w:type="dxa"/>
              <w:right w:w="15" w:type="dxa"/>
            </w:tcMar>
            <w:vAlign w:val="center"/>
          </w:tcPr>
          <w:p>
            <w:pPr>
              <w:pStyle w:val="44"/>
              <w:rPr>
                <w:szCs w:val="21"/>
              </w:rPr>
            </w:pPr>
          </w:p>
        </w:tc>
        <w:tc>
          <w:tcPr>
            <w:tcW w:w="701" w:type="pct"/>
            <w:tcMar>
              <w:top w:w="15" w:type="dxa"/>
              <w:left w:w="15" w:type="dxa"/>
              <w:right w:w="15" w:type="dxa"/>
            </w:tcMar>
            <w:vAlign w:val="center"/>
          </w:tcPr>
          <w:p>
            <w:pPr>
              <w:pStyle w:val="44"/>
              <w:rPr>
                <w:szCs w:val="21"/>
              </w:rPr>
            </w:pPr>
            <w:r>
              <w:rPr>
                <w:rFonts w:hint="eastAsia"/>
                <w:kern w:val="0"/>
                <w:szCs w:val="21"/>
                <w:lang w:bidi="ar"/>
              </w:rPr>
              <w:t>颗粒物</w:t>
            </w:r>
          </w:p>
        </w:tc>
        <w:tc>
          <w:tcPr>
            <w:tcW w:w="802" w:type="pct"/>
            <w:tcMar>
              <w:top w:w="15" w:type="dxa"/>
              <w:left w:w="15" w:type="dxa"/>
              <w:right w:w="15" w:type="dxa"/>
            </w:tcMar>
            <w:vAlign w:val="center"/>
          </w:tcPr>
          <w:p>
            <w:pPr>
              <w:pStyle w:val="44"/>
            </w:pPr>
            <w:r>
              <w:rPr>
                <w:rFonts w:hint="eastAsia"/>
              </w:rPr>
              <w:t>0.22</w:t>
            </w:r>
          </w:p>
        </w:tc>
        <w:tc>
          <w:tcPr>
            <w:tcW w:w="729" w:type="pct"/>
            <w:tcMar>
              <w:top w:w="15" w:type="dxa"/>
              <w:left w:w="15" w:type="dxa"/>
              <w:right w:w="15" w:type="dxa"/>
            </w:tcMar>
            <w:vAlign w:val="center"/>
          </w:tcPr>
          <w:p>
            <w:pPr>
              <w:pStyle w:val="44"/>
            </w:pPr>
            <w:r>
              <w:rPr>
                <w:rFonts w:hint="eastAsia"/>
              </w:rPr>
              <w:t>0.015</w:t>
            </w:r>
          </w:p>
        </w:tc>
        <w:tc>
          <w:tcPr>
            <w:tcW w:w="451" w:type="pct"/>
            <w:tcMar>
              <w:top w:w="15" w:type="dxa"/>
              <w:left w:w="15" w:type="dxa"/>
              <w:right w:w="15" w:type="dxa"/>
            </w:tcMar>
            <w:vAlign w:val="center"/>
          </w:tcPr>
          <w:p>
            <w:pPr>
              <w:pStyle w:val="44"/>
            </w:pPr>
            <w:r>
              <w:rPr>
                <w:rFonts w:hint="eastAsia"/>
              </w:rPr>
              <w:t>93.2</w:t>
            </w:r>
          </w:p>
        </w:tc>
        <w:tc>
          <w:tcPr>
            <w:tcW w:w="409" w:type="pct"/>
            <w:vMerge w:val="continue"/>
            <w:tcMar>
              <w:top w:w="15" w:type="dxa"/>
              <w:left w:w="15" w:type="dxa"/>
              <w:right w:w="15" w:type="dxa"/>
            </w:tcMar>
            <w:vAlign w:val="center"/>
          </w:tcPr>
          <w:p>
            <w:pPr>
              <w:pStyle w:val="44"/>
            </w:pPr>
          </w:p>
        </w:tc>
        <w:tc>
          <w:tcPr>
            <w:tcW w:w="556" w:type="pct"/>
            <w:vMerge w:val="continue"/>
            <w:tcMar>
              <w:top w:w="15" w:type="dxa"/>
              <w:left w:w="15" w:type="dxa"/>
              <w:right w:w="15" w:type="dxa"/>
            </w:tcMar>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07" w:type="pct"/>
            <w:tcMar>
              <w:top w:w="15" w:type="dxa"/>
              <w:left w:w="15" w:type="dxa"/>
              <w:right w:w="15" w:type="dxa"/>
            </w:tcMar>
            <w:vAlign w:val="center"/>
          </w:tcPr>
          <w:p>
            <w:pPr>
              <w:pStyle w:val="44"/>
            </w:pPr>
            <w:r>
              <w:rPr>
                <w:rFonts w:hint="eastAsia"/>
              </w:rPr>
              <w:t>2023.12.13</w:t>
            </w:r>
          </w:p>
        </w:tc>
        <w:tc>
          <w:tcPr>
            <w:tcW w:w="741" w:type="pct"/>
            <w:vMerge w:val="continue"/>
            <w:tcMar>
              <w:top w:w="15" w:type="dxa"/>
              <w:left w:w="15" w:type="dxa"/>
              <w:right w:w="15" w:type="dxa"/>
            </w:tcMar>
            <w:vAlign w:val="center"/>
          </w:tcPr>
          <w:p>
            <w:pPr>
              <w:pStyle w:val="44"/>
              <w:rPr>
                <w:szCs w:val="21"/>
              </w:rPr>
            </w:pPr>
          </w:p>
        </w:tc>
        <w:tc>
          <w:tcPr>
            <w:tcW w:w="701" w:type="pct"/>
            <w:tcMar>
              <w:top w:w="15" w:type="dxa"/>
              <w:left w:w="15" w:type="dxa"/>
              <w:right w:w="15" w:type="dxa"/>
            </w:tcMar>
            <w:vAlign w:val="center"/>
          </w:tcPr>
          <w:p>
            <w:pPr>
              <w:pStyle w:val="44"/>
              <w:rPr>
                <w:szCs w:val="21"/>
              </w:rPr>
            </w:pPr>
            <w:r>
              <w:rPr>
                <w:szCs w:val="21"/>
              </w:rPr>
              <w:t>VOCs</w:t>
            </w:r>
          </w:p>
        </w:tc>
        <w:tc>
          <w:tcPr>
            <w:tcW w:w="802" w:type="pct"/>
            <w:tcMar>
              <w:top w:w="15" w:type="dxa"/>
              <w:left w:w="15" w:type="dxa"/>
              <w:right w:w="15" w:type="dxa"/>
            </w:tcMar>
            <w:vAlign w:val="center"/>
          </w:tcPr>
          <w:p>
            <w:pPr>
              <w:pStyle w:val="44"/>
            </w:pPr>
            <w:r>
              <w:rPr>
                <w:rFonts w:hint="eastAsia"/>
              </w:rPr>
              <w:t>1.3</w:t>
            </w:r>
          </w:p>
        </w:tc>
        <w:tc>
          <w:tcPr>
            <w:tcW w:w="729" w:type="pct"/>
            <w:tcMar>
              <w:top w:w="15" w:type="dxa"/>
              <w:left w:w="15" w:type="dxa"/>
              <w:right w:w="15" w:type="dxa"/>
            </w:tcMar>
            <w:vAlign w:val="center"/>
          </w:tcPr>
          <w:p>
            <w:pPr>
              <w:pStyle w:val="44"/>
            </w:pPr>
            <w:r>
              <w:rPr>
                <w:rFonts w:hint="eastAsia"/>
              </w:rPr>
              <w:t>0.015</w:t>
            </w:r>
          </w:p>
        </w:tc>
        <w:tc>
          <w:tcPr>
            <w:tcW w:w="451" w:type="pct"/>
            <w:tcMar>
              <w:top w:w="15" w:type="dxa"/>
              <w:left w:w="15" w:type="dxa"/>
              <w:right w:w="15" w:type="dxa"/>
            </w:tcMar>
            <w:vAlign w:val="center"/>
          </w:tcPr>
          <w:p>
            <w:pPr>
              <w:pStyle w:val="44"/>
            </w:pPr>
            <w:r>
              <w:rPr>
                <w:rFonts w:hint="eastAsia"/>
              </w:rPr>
              <w:t>98.8</w:t>
            </w:r>
          </w:p>
        </w:tc>
        <w:tc>
          <w:tcPr>
            <w:tcW w:w="409" w:type="pct"/>
            <w:vMerge w:val="restart"/>
            <w:tcMar>
              <w:top w:w="15" w:type="dxa"/>
              <w:left w:w="15" w:type="dxa"/>
              <w:right w:w="15" w:type="dxa"/>
            </w:tcMar>
            <w:vAlign w:val="center"/>
          </w:tcPr>
          <w:p>
            <w:pPr>
              <w:pStyle w:val="44"/>
            </w:pPr>
            <w:r>
              <w:rPr>
                <w:rFonts w:hint="eastAsia"/>
              </w:rPr>
              <w:t>98.8</w:t>
            </w:r>
          </w:p>
        </w:tc>
        <w:tc>
          <w:tcPr>
            <w:tcW w:w="556" w:type="pct"/>
            <w:vMerge w:val="continue"/>
            <w:tcMar>
              <w:top w:w="15" w:type="dxa"/>
              <w:left w:w="15" w:type="dxa"/>
              <w:right w:w="15" w:type="dxa"/>
            </w:tcMar>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07" w:type="pct"/>
            <w:tcMar>
              <w:top w:w="15" w:type="dxa"/>
              <w:left w:w="15" w:type="dxa"/>
              <w:right w:w="15" w:type="dxa"/>
            </w:tcMar>
            <w:vAlign w:val="center"/>
          </w:tcPr>
          <w:p>
            <w:pPr>
              <w:pStyle w:val="44"/>
              <w:rPr>
                <w:szCs w:val="21"/>
              </w:rPr>
            </w:pPr>
            <w:r>
              <w:rPr>
                <w:rFonts w:hint="eastAsia"/>
              </w:rPr>
              <w:t>2023.12.14</w:t>
            </w:r>
          </w:p>
        </w:tc>
        <w:tc>
          <w:tcPr>
            <w:tcW w:w="741" w:type="pct"/>
            <w:vMerge w:val="continue"/>
            <w:tcMar>
              <w:top w:w="15" w:type="dxa"/>
              <w:left w:w="15" w:type="dxa"/>
              <w:right w:w="15" w:type="dxa"/>
            </w:tcMar>
            <w:vAlign w:val="center"/>
          </w:tcPr>
          <w:p>
            <w:pPr>
              <w:pStyle w:val="44"/>
              <w:rPr>
                <w:szCs w:val="21"/>
              </w:rPr>
            </w:pPr>
          </w:p>
        </w:tc>
        <w:tc>
          <w:tcPr>
            <w:tcW w:w="701" w:type="pct"/>
            <w:tcMar>
              <w:top w:w="15" w:type="dxa"/>
              <w:left w:w="15" w:type="dxa"/>
              <w:right w:w="15" w:type="dxa"/>
            </w:tcMar>
            <w:vAlign w:val="center"/>
          </w:tcPr>
          <w:p>
            <w:pPr>
              <w:pStyle w:val="44"/>
              <w:rPr>
                <w:szCs w:val="21"/>
              </w:rPr>
            </w:pPr>
            <w:r>
              <w:rPr>
                <w:szCs w:val="21"/>
              </w:rPr>
              <w:t>VOCs</w:t>
            </w:r>
          </w:p>
        </w:tc>
        <w:tc>
          <w:tcPr>
            <w:tcW w:w="802" w:type="pct"/>
            <w:tcMar>
              <w:top w:w="15" w:type="dxa"/>
              <w:left w:w="15" w:type="dxa"/>
              <w:right w:w="15" w:type="dxa"/>
            </w:tcMar>
            <w:vAlign w:val="center"/>
          </w:tcPr>
          <w:p>
            <w:pPr>
              <w:pStyle w:val="44"/>
            </w:pPr>
            <w:r>
              <w:rPr>
                <w:rFonts w:hint="eastAsia"/>
              </w:rPr>
              <w:t>1.4</w:t>
            </w:r>
          </w:p>
        </w:tc>
        <w:tc>
          <w:tcPr>
            <w:tcW w:w="729" w:type="pct"/>
            <w:tcMar>
              <w:top w:w="15" w:type="dxa"/>
              <w:left w:w="15" w:type="dxa"/>
              <w:right w:w="15" w:type="dxa"/>
            </w:tcMar>
            <w:vAlign w:val="center"/>
          </w:tcPr>
          <w:p>
            <w:pPr>
              <w:pStyle w:val="44"/>
            </w:pPr>
            <w:r>
              <w:rPr>
                <w:rFonts w:hint="eastAsia"/>
              </w:rPr>
              <w:t>0.016</w:t>
            </w:r>
          </w:p>
        </w:tc>
        <w:tc>
          <w:tcPr>
            <w:tcW w:w="451" w:type="pct"/>
            <w:tcMar>
              <w:top w:w="15" w:type="dxa"/>
              <w:left w:w="15" w:type="dxa"/>
              <w:right w:w="15" w:type="dxa"/>
            </w:tcMar>
            <w:vAlign w:val="center"/>
          </w:tcPr>
          <w:p>
            <w:pPr>
              <w:pStyle w:val="44"/>
            </w:pPr>
            <w:r>
              <w:rPr>
                <w:rFonts w:hint="eastAsia"/>
              </w:rPr>
              <w:t>98.8</w:t>
            </w:r>
          </w:p>
        </w:tc>
        <w:tc>
          <w:tcPr>
            <w:tcW w:w="409" w:type="pct"/>
            <w:vMerge w:val="continue"/>
            <w:tcMar>
              <w:top w:w="15" w:type="dxa"/>
              <w:left w:w="15" w:type="dxa"/>
              <w:right w:w="15" w:type="dxa"/>
            </w:tcMar>
            <w:vAlign w:val="center"/>
          </w:tcPr>
          <w:p>
            <w:pPr>
              <w:pStyle w:val="44"/>
            </w:pPr>
          </w:p>
        </w:tc>
        <w:tc>
          <w:tcPr>
            <w:tcW w:w="556" w:type="pct"/>
            <w:vMerge w:val="continue"/>
            <w:tcMar>
              <w:top w:w="15" w:type="dxa"/>
              <w:left w:w="15" w:type="dxa"/>
              <w:right w:w="15" w:type="dxa"/>
            </w:tcMar>
            <w:vAlign w:val="center"/>
          </w:tcPr>
          <w:p>
            <w:pPr>
              <w:pStyle w:val="44"/>
            </w:pPr>
          </w:p>
        </w:tc>
      </w:tr>
    </w:tbl>
    <w:p>
      <w:pPr>
        <w:spacing w:line="240" w:lineRule="auto"/>
        <w:ind w:firstLine="0" w:firstLineChars="0"/>
        <w:rPr>
          <w:highlight w:val="red"/>
        </w:rPr>
      </w:pPr>
    </w:p>
    <w:p>
      <w:pPr>
        <w:ind w:firstLine="480"/>
        <w:rPr>
          <w:highlight w:val="red"/>
        </w:rPr>
      </w:pPr>
      <w:r>
        <w:rPr>
          <w:highlight w:val="red"/>
        </w:rPr>
        <w:br w:type="page"/>
      </w:r>
    </w:p>
    <w:p>
      <w:pPr>
        <w:pStyle w:val="5"/>
        <w:rPr>
          <w:highlight w:val="red"/>
        </w:rPr>
        <w:sectPr>
          <w:pgSz w:w="11905" w:h="16838"/>
          <w:pgMar w:top="1247" w:right="1247" w:bottom="1247" w:left="1247" w:header="709" w:footer="680" w:gutter="0"/>
          <w:cols w:space="0" w:num="1"/>
          <w:docGrid w:type="lines" w:linePitch="326" w:charSpace="0"/>
        </w:sectPr>
      </w:pPr>
    </w:p>
    <w:p>
      <w:pPr>
        <w:pStyle w:val="5"/>
      </w:pPr>
      <w:r>
        <w:t>9.2.2污染物排放监测结果</w:t>
      </w:r>
      <w:bookmarkEnd w:id="1128"/>
    </w:p>
    <w:p>
      <w:pPr>
        <w:pStyle w:val="6"/>
        <w:tabs>
          <w:tab w:val="left" w:pos="864"/>
        </w:tabs>
      </w:pPr>
      <w:r>
        <w:t>9.2.2.</w:t>
      </w:r>
      <w:r>
        <w:rPr>
          <w:rFonts w:hint="eastAsia"/>
        </w:rPr>
        <w:t>1废水</w:t>
      </w:r>
    </w:p>
    <w:p>
      <w:pPr>
        <w:ind w:firstLine="480"/>
      </w:pPr>
      <w:r>
        <w:t>污水处理站废水</w:t>
      </w:r>
      <w:r>
        <w:rPr>
          <w:rFonts w:hint="eastAsia"/>
        </w:rPr>
        <w:t>参数见表9.2-3，</w:t>
      </w:r>
      <w:r>
        <w:t>检测结果见表9.2-</w:t>
      </w:r>
      <w:r>
        <w:rPr>
          <w:rFonts w:hint="eastAsia"/>
        </w:rPr>
        <w:t>4</w:t>
      </w:r>
      <w:r>
        <w:t>。</w:t>
      </w:r>
    </w:p>
    <w:p>
      <w:pPr>
        <w:pStyle w:val="48"/>
      </w:pPr>
      <w:r>
        <w:t>表9.2-</w:t>
      </w:r>
      <w:r>
        <w:rPr>
          <w:rFonts w:hint="eastAsia"/>
        </w:rPr>
        <w:t>3</w:t>
      </w:r>
      <w:r>
        <w:t xml:space="preserve"> 污水处理站废水</w:t>
      </w:r>
      <w:r>
        <w:rPr>
          <w:rFonts w:hint="eastAsia"/>
        </w:rPr>
        <w:t>参数</w:t>
      </w:r>
      <w:r>
        <w:t>统计表</w:t>
      </w:r>
    </w:p>
    <w:tbl>
      <w:tblPr>
        <w:tblStyle w:val="34"/>
        <w:tblW w:w="8966" w:type="dxa"/>
        <w:tblInd w:w="354" w:type="dxa"/>
        <w:tblLayout w:type="fixed"/>
        <w:tblCellMar>
          <w:top w:w="0" w:type="dxa"/>
          <w:left w:w="108" w:type="dxa"/>
          <w:bottom w:w="0" w:type="dxa"/>
          <w:right w:w="108" w:type="dxa"/>
        </w:tblCellMar>
      </w:tblPr>
      <w:tblGrid>
        <w:gridCol w:w="797"/>
        <w:gridCol w:w="1107"/>
        <w:gridCol w:w="1812"/>
        <w:gridCol w:w="877"/>
        <w:gridCol w:w="1281"/>
        <w:gridCol w:w="1130"/>
        <w:gridCol w:w="1962"/>
      </w:tblGrid>
      <w:tr>
        <w:tblPrEx>
          <w:tblCellMar>
            <w:top w:w="0" w:type="dxa"/>
            <w:left w:w="108" w:type="dxa"/>
            <w:bottom w:w="0" w:type="dxa"/>
            <w:right w:w="108" w:type="dxa"/>
          </w:tblCellMar>
        </w:tblPrEx>
        <w:trPr>
          <w:trHeight w:val="306" w:hRule="atLeast"/>
        </w:trPr>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检测日期</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检测点位</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检测频次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4"/>
              <w:rPr>
                <w:kern w:val="0"/>
                <w:szCs w:val="21"/>
                <w:lang w:bidi="ar"/>
              </w:rPr>
            </w:pPr>
            <w:r>
              <w:rPr>
                <w:rFonts w:hint="eastAsia"/>
                <w:kern w:val="0"/>
                <w:szCs w:val="21"/>
                <w:lang w:bidi="ar"/>
              </w:rPr>
              <w:t>流量</w:t>
            </w:r>
            <w:r>
              <w:rPr>
                <w:rFonts w:hint="eastAsia"/>
                <w:kern w:val="0"/>
                <w:szCs w:val="21"/>
                <w:lang w:bidi="ar"/>
              </w:rPr>
              <w:br w:type="textWrapping"/>
            </w:r>
            <w:r>
              <w:rPr>
                <w:kern w:val="0"/>
                <w:szCs w:val="21"/>
                <w:lang w:bidi="ar"/>
              </w:rPr>
              <w:t>(m3/h)</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4"/>
              <w:rPr>
                <w:kern w:val="0"/>
                <w:szCs w:val="21"/>
                <w:lang w:bidi="ar"/>
              </w:rPr>
            </w:pPr>
            <w:r>
              <w:rPr>
                <w:kern w:val="0"/>
                <w:szCs w:val="21"/>
                <w:lang w:bidi="ar"/>
              </w:rPr>
              <w:t>pH</w:t>
            </w:r>
            <w:r>
              <w:rPr>
                <w:kern w:val="0"/>
                <w:szCs w:val="21"/>
                <w:lang w:bidi="ar"/>
              </w:rPr>
              <w:br w:type="textWrapping"/>
            </w:r>
            <w:r>
              <w:rPr>
                <w:kern w:val="0"/>
                <w:szCs w:val="21"/>
                <w:lang w:bidi="ar"/>
              </w:rPr>
              <w:t>(</w:t>
            </w:r>
            <w:r>
              <w:rPr>
                <w:rFonts w:hint="eastAsia"/>
                <w:kern w:val="0"/>
                <w:szCs w:val="21"/>
                <w:lang w:bidi="ar"/>
              </w:rPr>
              <w:t>无量纲</w:t>
            </w:r>
            <w:r>
              <w:rPr>
                <w:kern w:val="0"/>
                <w:szCs w:val="21"/>
                <w:lang w:bidi="ar"/>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4"/>
              <w:rPr>
                <w:kern w:val="0"/>
                <w:szCs w:val="21"/>
                <w:lang w:bidi="ar"/>
              </w:rPr>
            </w:pPr>
            <w:r>
              <w:rPr>
                <w:rFonts w:hint="eastAsia"/>
                <w:kern w:val="0"/>
                <w:szCs w:val="21"/>
                <w:lang w:bidi="ar"/>
              </w:rPr>
              <w:t>水温</w:t>
            </w:r>
            <w:r>
              <w:rPr>
                <w:rFonts w:hint="eastAsia"/>
                <w:kern w:val="0"/>
                <w:szCs w:val="21"/>
                <w:lang w:bidi="ar"/>
              </w:rPr>
              <w:br w:type="textWrapping"/>
            </w:r>
            <w:r>
              <w:rPr>
                <w:kern w:val="0"/>
                <w:szCs w:val="21"/>
                <w:lang w:bidi="ar"/>
              </w:rPr>
              <w:t>(</w:t>
            </w:r>
            <w:r>
              <w:rPr>
                <w:rFonts w:hint="eastAsia"/>
                <w:kern w:val="0"/>
                <w:szCs w:val="21"/>
                <w:lang w:bidi="ar"/>
              </w:rPr>
              <w:t>℃</w:t>
            </w:r>
            <w:r>
              <w:rPr>
                <w:kern w:val="0"/>
                <w:szCs w:val="21"/>
                <w:lang w:bidi="ar"/>
              </w:rPr>
              <w:t>)</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样品状态描述</w:t>
            </w:r>
          </w:p>
        </w:tc>
      </w:tr>
      <w:tr>
        <w:tblPrEx>
          <w:tblCellMar>
            <w:top w:w="0" w:type="dxa"/>
            <w:left w:w="108" w:type="dxa"/>
            <w:bottom w:w="0" w:type="dxa"/>
            <w:right w:w="108" w:type="dxa"/>
          </w:tblCellMar>
        </w:tblPrEx>
        <w:trPr>
          <w:trHeight w:val="306" w:hRule="atLeast"/>
        </w:trPr>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2024-02-28</w:t>
            </w:r>
          </w:p>
        </w:tc>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污水处理站出口</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1</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6.0</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2</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6. 1</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3</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6.0</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4</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6.3</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污水处理站进口</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1</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7.9</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5.6</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2</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7.9</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5.8</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无气味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3</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7.9</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5.8</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1</w:t>
            </w:r>
            <w:r>
              <w:rPr>
                <w:rFonts w:hint="eastAsia"/>
                <w:kern w:val="0"/>
                <w:szCs w:val="21"/>
                <w:lang w:bidi="ar"/>
              </w:rPr>
              <w:t>天 第</w:t>
            </w:r>
            <w:r>
              <w:rPr>
                <w:kern w:val="0"/>
                <w:szCs w:val="21"/>
                <w:lang w:bidi="ar"/>
              </w:rPr>
              <w:t>4</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7.9</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6.0</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弱气味</w:t>
            </w:r>
          </w:p>
        </w:tc>
      </w:tr>
      <w:tr>
        <w:tblPrEx>
          <w:tblCellMar>
            <w:top w:w="0" w:type="dxa"/>
            <w:left w:w="108" w:type="dxa"/>
            <w:bottom w:w="0" w:type="dxa"/>
            <w:right w:w="108" w:type="dxa"/>
          </w:tblCellMar>
        </w:tblPrEx>
        <w:trPr>
          <w:trHeight w:val="306" w:hRule="atLeast"/>
        </w:trPr>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2024-02-29</w:t>
            </w:r>
          </w:p>
        </w:tc>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污水处理站出口</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1</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7.7</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4.5</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2</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4.6</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3</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7.7</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4.6</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4</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4.6</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微弱气味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污水处理站进口</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1</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4.2</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2</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7.8</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4. 1</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深黄色</w:t>
            </w:r>
            <w:r>
              <w:rPr>
                <w:kern w:val="0"/>
                <w:szCs w:val="21"/>
                <w:lang w:bidi="ar"/>
              </w:rPr>
              <w:t>,</w:t>
            </w:r>
            <w:r>
              <w:rPr>
                <w:rFonts w:hint="eastAsia"/>
                <w:kern w:val="0"/>
                <w:szCs w:val="21"/>
                <w:lang w:bidi="ar"/>
              </w:rPr>
              <w:t>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3</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7.9</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4.2</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弱气味</w:t>
            </w:r>
          </w:p>
        </w:tc>
      </w:tr>
      <w:tr>
        <w:tblPrEx>
          <w:tblCellMar>
            <w:top w:w="0" w:type="dxa"/>
            <w:left w:w="108" w:type="dxa"/>
            <w:bottom w:w="0" w:type="dxa"/>
            <w:right w:w="108" w:type="dxa"/>
          </w:tblCellMar>
        </w:tblPrEx>
        <w:trPr>
          <w:trHeight w:val="306"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第</w:t>
            </w:r>
            <w:r>
              <w:rPr>
                <w:kern w:val="0"/>
                <w:szCs w:val="21"/>
                <w:lang w:bidi="ar"/>
              </w:rPr>
              <w:t>2</w:t>
            </w:r>
            <w:r>
              <w:rPr>
                <w:rFonts w:hint="eastAsia"/>
                <w:kern w:val="0"/>
                <w:szCs w:val="21"/>
                <w:lang w:bidi="ar"/>
              </w:rPr>
              <w:t>天 第</w:t>
            </w:r>
            <w:r>
              <w:rPr>
                <w:kern w:val="0"/>
                <w:szCs w:val="21"/>
                <w:lang w:bidi="ar"/>
              </w:rPr>
              <w:t>4</w:t>
            </w:r>
            <w:r>
              <w:rPr>
                <w:rFonts w:hint="eastAsia"/>
                <w:kern w:val="0"/>
                <w:szCs w:val="21"/>
                <w:lang w:bidi="ar"/>
              </w:rPr>
              <w:t>次</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7.7</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kern w:val="0"/>
                <w:szCs w:val="21"/>
                <w:lang w:bidi="ar"/>
              </w:rPr>
              <w:t>4.2</w:t>
            </w:r>
          </w:p>
        </w:tc>
        <w:tc>
          <w:tcPr>
            <w:tcW w:w="19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kern w:val="0"/>
                <w:szCs w:val="21"/>
                <w:lang w:bidi="ar"/>
              </w:rPr>
            </w:pPr>
            <w:r>
              <w:rPr>
                <w:rFonts w:hint="eastAsia"/>
                <w:kern w:val="0"/>
                <w:szCs w:val="21"/>
                <w:lang w:bidi="ar"/>
              </w:rPr>
              <w:t>浅黄色</w:t>
            </w:r>
            <w:r>
              <w:rPr>
                <w:kern w:val="0"/>
                <w:szCs w:val="21"/>
                <w:lang w:bidi="ar"/>
              </w:rPr>
              <w:t>,</w:t>
            </w:r>
            <w:r>
              <w:rPr>
                <w:rFonts w:hint="eastAsia"/>
                <w:kern w:val="0"/>
                <w:szCs w:val="21"/>
                <w:lang w:bidi="ar"/>
              </w:rPr>
              <w:t>弱气味</w:t>
            </w:r>
          </w:p>
        </w:tc>
      </w:tr>
    </w:tbl>
    <w:p>
      <w:pPr>
        <w:pStyle w:val="48"/>
      </w:pPr>
    </w:p>
    <w:p>
      <w:pPr>
        <w:pStyle w:val="48"/>
        <w:rPr>
          <w:highlight w:val="none"/>
        </w:rPr>
      </w:pPr>
      <w:r>
        <w:rPr>
          <w:highlight w:val="none"/>
        </w:rPr>
        <w:t>表9.2-</w:t>
      </w:r>
      <w:r>
        <w:rPr>
          <w:rFonts w:hint="eastAsia"/>
          <w:highlight w:val="none"/>
        </w:rPr>
        <w:t>4</w:t>
      </w:r>
      <w:r>
        <w:rPr>
          <w:highlight w:val="none"/>
        </w:rPr>
        <w:t xml:space="preserve"> 污水处理站废水检测结果统计表</w:t>
      </w:r>
    </w:p>
    <w:tbl>
      <w:tblPr>
        <w:tblStyle w:val="34"/>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9"/>
        <w:gridCol w:w="292"/>
        <w:gridCol w:w="429"/>
        <w:gridCol w:w="218"/>
        <w:gridCol w:w="429"/>
        <w:gridCol w:w="1367"/>
        <w:gridCol w:w="429"/>
        <w:gridCol w:w="518"/>
        <w:gridCol w:w="429"/>
        <w:gridCol w:w="447"/>
        <w:gridCol w:w="428"/>
        <w:gridCol w:w="481"/>
        <w:gridCol w:w="428"/>
        <w:gridCol w:w="413"/>
        <w:gridCol w:w="428"/>
        <w:gridCol w:w="441"/>
        <w:gridCol w:w="428"/>
        <w:gridCol w:w="251"/>
        <w:gridCol w:w="428"/>
        <w:gridCol w:w="292"/>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373" w:hRule="atLeast"/>
          <w:jc w:val="center"/>
        </w:trPr>
        <w:tc>
          <w:tcPr>
            <w:tcW w:w="382" w:type="pct"/>
            <w:gridSpan w:val="2"/>
            <w:vMerge w:val="restart"/>
            <w:vAlign w:val="center"/>
          </w:tcPr>
          <w:p>
            <w:pPr>
              <w:pStyle w:val="44"/>
              <w:rPr>
                <w:kern w:val="0"/>
                <w:szCs w:val="21"/>
                <w:highlight w:val="none"/>
                <w:lang w:bidi="ar"/>
              </w:rPr>
            </w:pPr>
            <w:r>
              <w:rPr>
                <w:kern w:val="0"/>
                <w:szCs w:val="21"/>
                <w:highlight w:val="none"/>
                <w:lang w:bidi="ar"/>
              </w:rPr>
              <w:t>采样</w:t>
            </w:r>
          </w:p>
          <w:p>
            <w:pPr>
              <w:pStyle w:val="44"/>
              <w:rPr>
                <w:kern w:val="0"/>
                <w:szCs w:val="21"/>
                <w:highlight w:val="none"/>
                <w:lang w:bidi="ar"/>
              </w:rPr>
            </w:pPr>
            <w:r>
              <w:rPr>
                <w:kern w:val="0"/>
                <w:szCs w:val="21"/>
                <w:highlight w:val="none"/>
                <w:lang w:bidi="ar"/>
              </w:rPr>
              <w:t>日期</w:t>
            </w:r>
          </w:p>
        </w:tc>
        <w:tc>
          <w:tcPr>
            <w:tcW w:w="342" w:type="pct"/>
            <w:gridSpan w:val="2"/>
            <w:vMerge w:val="restart"/>
            <w:vAlign w:val="center"/>
          </w:tcPr>
          <w:p>
            <w:pPr>
              <w:pStyle w:val="44"/>
              <w:rPr>
                <w:kern w:val="0"/>
                <w:szCs w:val="21"/>
                <w:highlight w:val="none"/>
                <w:lang w:bidi="ar"/>
              </w:rPr>
            </w:pPr>
            <w:r>
              <w:rPr>
                <w:kern w:val="0"/>
                <w:szCs w:val="21"/>
                <w:highlight w:val="none"/>
                <w:lang w:bidi="ar"/>
              </w:rPr>
              <w:t>检测点位</w:t>
            </w:r>
          </w:p>
        </w:tc>
        <w:tc>
          <w:tcPr>
            <w:tcW w:w="951" w:type="pct"/>
            <w:gridSpan w:val="2"/>
            <w:vMerge w:val="restart"/>
            <w:vAlign w:val="center"/>
          </w:tcPr>
          <w:p>
            <w:pPr>
              <w:pStyle w:val="44"/>
              <w:rPr>
                <w:kern w:val="0"/>
                <w:szCs w:val="21"/>
                <w:highlight w:val="none"/>
                <w:lang w:bidi="ar"/>
              </w:rPr>
            </w:pPr>
            <w:r>
              <w:rPr>
                <w:kern w:val="0"/>
                <w:szCs w:val="21"/>
                <w:highlight w:val="none"/>
                <w:lang w:bidi="ar"/>
              </w:rPr>
              <w:t>检测项目</w:t>
            </w:r>
          </w:p>
        </w:tc>
        <w:tc>
          <w:tcPr>
            <w:tcW w:w="2354" w:type="pct"/>
            <w:gridSpan w:val="10"/>
            <w:vAlign w:val="center"/>
          </w:tcPr>
          <w:p>
            <w:pPr>
              <w:pStyle w:val="44"/>
              <w:rPr>
                <w:kern w:val="0"/>
                <w:szCs w:val="21"/>
                <w:highlight w:val="none"/>
                <w:lang w:bidi="ar"/>
              </w:rPr>
            </w:pPr>
            <w:r>
              <w:rPr>
                <w:kern w:val="0"/>
                <w:szCs w:val="21"/>
                <w:highlight w:val="none"/>
                <w:lang w:bidi="ar"/>
              </w:rPr>
              <w:t>检测结果</w:t>
            </w:r>
          </w:p>
        </w:tc>
        <w:tc>
          <w:tcPr>
            <w:tcW w:w="359" w:type="pct"/>
            <w:gridSpan w:val="2"/>
            <w:vMerge w:val="restart"/>
            <w:vAlign w:val="center"/>
          </w:tcPr>
          <w:p>
            <w:pPr>
              <w:pStyle w:val="74"/>
              <w:jc w:val="center"/>
              <w:rPr>
                <w:rFonts w:ascii="Times New Roman" w:hAnsi="Times New Roman"/>
                <w:szCs w:val="21"/>
                <w:highlight w:val="none"/>
              </w:rPr>
            </w:pPr>
            <w:r>
              <w:rPr>
                <w:rFonts w:ascii="Times New Roman" w:hAnsi="Times New Roman"/>
                <w:szCs w:val="21"/>
                <w:highlight w:val="none"/>
              </w:rPr>
              <w:t>标准</w:t>
            </w:r>
          </w:p>
          <w:p>
            <w:pPr>
              <w:pStyle w:val="74"/>
              <w:jc w:val="center"/>
              <w:rPr>
                <w:rFonts w:ascii="Times New Roman" w:hAnsi="Times New Roman"/>
                <w:szCs w:val="21"/>
                <w:highlight w:val="none"/>
              </w:rPr>
            </w:pPr>
            <w:r>
              <w:rPr>
                <w:rFonts w:ascii="Times New Roman" w:hAnsi="Times New Roman"/>
                <w:szCs w:val="21"/>
                <w:highlight w:val="none"/>
              </w:rPr>
              <w:t>限值</w:t>
            </w:r>
          </w:p>
        </w:tc>
        <w:tc>
          <w:tcPr>
            <w:tcW w:w="381" w:type="pct"/>
            <w:gridSpan w:val="2"/>
            <w:vMerge w:val="restart"/>
            <w:vAlign w:val="center"/>
          </w:tcPr>
          <w:p>
            <w:pPr>
              <w:pStyle w:val="74"/>
              <w:jc w:val="center"/>
              <w:rPr>
                <w:rFonts w:ascii="Times New Roman" w:hAnsi="Times New Roman"/>
                <w:szCs w:val="21"/>
                <w:highlight w:val="none"/>
              </w:rPr>
            </w:pPr>
            <w:r>
              <w:rPr>
                <w:rFonts w:ascii="Times New Roman" w:hAnsi="Times New Roman"/>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61" w:hRule="atLeast"/>
          <w:jc w:val="center"/>
        </w:trPr>
        <w:tc>
          <w:tcPr>
            <w:tcW w:w="382" w:type="pct"/>
            <w:gridSpan w:val="2"/>
            <w:vMerge w:val="continue"/>
            <w:vAlign w:val="center"/>
          </w:tcPr>
          <w:p>
            <w:pPr>
              <w:pStyle w:val="44"/>
              <w:rPr>
                <w:kern w:val="0"/>
                <w:szCs w:val="21"/>
                <w:highlight w:val="none"/>
                <w:lang w:bidi="ar"/>
              </w:rPr>
            </w:pPr>
          </w:p>
        </w:tc>
        <w:tc>
          <w:tcPr>
            <w:tcW w:w="342" w:type="pct"/>
            <w:gridSpan w:val="2"/>
            <w:vMerge w:val="continue"/>
            <w:vAlign w:val="center"/>
          </w:tcPr>
          <w:p>
            <w:pPr>
              <w:pStyle w:val="44"/>
              <w:rPr>
                <w:kern w:val="0"/>
                <w:szCs w:val="21"/>
                <w:highlight w:val="none"/>
                <w:lang w:bidi="ar"/>
              </w:rPr>
            </w:pPr>
          </w:p>
        </w:tc>
        <w:tc>
          <w:tcPr>
            <w:tcW w:w="951" w:type="pct"/>
            <w:gridSpan w:val="2"/>
            <w:vMerge w:val="continue"/>
            <w:vAlign w:val="center"/>
          </w:tcPr>
          <w:p>
            <w:pPr>
              <w:pStyle w:val="44"/>
              <w:rPr>
                <w:kern w:val="0"/>
                <w:szCs w:val="21"/>
                <w:highlight w:val="none"/>
                <w:lang w:bidi="ar"/>
              </w:rPr>
            </w:pPr>
          </w:p>
        </w:tc>
        <w:tc>
          <w:tcPr>
            <w:tcW w:w="501" w:type="pct"/>
            <w:gridSpan w:val="2"/>
            <w:vAlign w:val="center"/>
          </w:tcPr>
          <w:p>
            <w:pPr>
              <w:pStyle w:val="44"/>
              <w:rPr>
                <w:kern w:val="0"/>
                <w:szCs w:val="21"/>
                <w:highlight w:val="none"/>
                <w:lang w:bidi="ar"/>
              </w:rPr>
            </w:pPr>
            <w:r>
              <w:rPr>
                <w:kern w:val="0"/>
                <w:szCs w:val="21"/>
                <w:highlight w:val="none"/>
                <w:lang w:bidi="ar"/>
              </w:rPr>
              <w:t>第一次</w:t>
            </w:r>
          </w:p>
        </w:tc>
        <w:tc>
          <w:tcPr>
            <w:tcW w:w="464" w:type="pct"/>
            <w:gridSpan w:val="2"/>
            <w:vAlign w:val="center"/>
          </w:tcPr>
          <w:p>
            <w:pPr>
              <w:pStyle w:val="44"/>
              <w:rPr>
                <w:kern w:val="0"/>
                <w:szCs w:val="21"/>
                <w:highlight w:val="none"/>
                <w:lang w:bidi="ar"/>
              </w:rPr>
            </w:pPr>
            <w:r>
              <w:rPr>
                <w:kern w:val="0"/>
                <w:szCs w:val="21"/>
                <w:highlight w:val="none"/>
                <w:lang w:bidi="ar"/>
              </w:rPr>
              <w:t>第二次</w:t>
            </w:r>
          </w:p>
        </w:tc>
        <w:tc>
          <w:tcPr>
            <w:tcW w:w="481" w:type="pct"/>
            <w:gridSpan w:val="2"/>
            <w:vAlign w:val="center"/>
          </w:tcPr>
          <w:p>
            <w:pPr>
              <w:pStyle w:val="44"/>
              <w:rPr>
                <w:kern w:val="0"/>
                <w:szCs w:val="21"/>
                <w:highlight w:val="none"/>
                <w:lang w:bidi="ar"/>
              </w:rPr>
            </w:pPr>
            <w:r>
              <w:rPr>
                <w:kern w:val="0"/>
                <w:szCs w:val="21"/>
                <w:highlight w:val="none"/>
                <w:lang w:bidi="ar"/>
              </w:rPr>
              <w:t>第三次</w:t>
            </w:r>
          </w:p>
        </w:tc>
        <w:tc>
          <w:tcPr>
            <w:tcW w:w="445" w:type="pct"/>
            <w:gridSpan w:val="2"/>
            <w:vAlign w:val="center"/>
          </w:tcPr>
          <w:p>
            <w:pPr>
              <w:pStyle w:val="44"/>
              <w:rPr>
                <w:kern w:val="0"/>
                <w:szCs w:val="21"/>
                <w:highlight w:val="none"/>
                <w:lang w:bidi="ar"/>
              </w:rPr>
            </w:pPr>
            <w:r>
              <w:rPr>
                <w:kern w:val="0"/>
                <w:szCs w:val="21"/>
                <w:highlight w:val="none"/>
                <w:lang w:bidi="ar"/>
              </w:rPr>
              <w:t>第四次</w:t>
            </w:r>
          </w:p>
        </w:tc>
        <w:tc>
          <w:tcPr>
            <w:tcW w:w="460" w:type="pct"/>
            <w:gridSpan w:val="2"/>
            <w:vAlign w:val="center"/>
          </w:tcPr>
          <w:p>
            <w:pPr>
              <w:pStyle w:val="44"/>
              <w:rPr>
                <w:kern w:val="0"/>
                <w:szCs w:val="21"/>
                <w:highlight w:val="none"/>
                <w:lang w:bidi="ar"/>
              </w:rPr>
            </w:pPr>
            <w:r>
              <w:rPr>
                <w:kern w:val="0"/>
                <w:szCs w:val="21"/>
                <w:highlight w:val="none"/>
                <w:lang w:bidi="ar"/>
              </w:rPr>
              <w:t>日均值</w:t>
            </w:r>
          </w:p>
        </w:tc>
        <w:tc>
          <w:tcPr>
            <w:tcW w:w="359" w:type="pct"/>
            <w:gridSpan w:val="2"/>
            <w:vMerge w:val="continue"/>
            <w:vAlign w:val="center"/>
          </w:tcPr>
          <w:p>
            <w:pPr>
              <w:pStyle w:val="74"/>
              <w:jc w:val="center"/>
              <w:rPr>
                <w:rFonts w:ascii="Times New Roman" w:hAnsi="Times New Roman"/>
                <w:szCs w:val="21"/>
                <w:highlight w:val="none"/>
              </w:rPr>
            </w:pPr>
          </w:p>
        </w:tc>
        <w:tc>
          <w:tcPr>
            <w:tcW w:w="381" w:type="pct"/>
            <w:gridSpan w:val="2"/>
            <w:vMerge w:val="continue"/>
            <w:vAlign w:val="center"/>
          </w:tcPr>
          <w:p>
            <w:pPr>
              <w:pStyle w:val="74"/>
              <w:jc w:val="center"/>
              <w:rPr>
                <w:rFonts w:ascii="Times New Roman" w:hAnsi="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restart"/>
            <w:vAlign w:val="center"/>
          </w:tcPr>
          <w:p>
            <w:pPr>
              <w:pStyle w:val="44"/>
              <w:rPr>
                <w:kern w:val="0"/>
                <w:szCs w:val="21"/>
                <w:highlight w:val="none"/>
                <w:lang w:bidi="ar"/>
              </w:rPr>
            </w:pPr>
            <w:r>
              <w:rPr>
                <w:kern w:val="0"/>
                <w:szCs w:val="21"/>
                <w:highlight w:val="none"/>
                <w:lang w:bidi="ar"/>
              </w:rPr>
              <w:t>2024-02-28</w:t>
            </w:r>
          </w:p>
        </w:tc>
        <w:tc>
          <w:tcPr>
            <w:tcW w:w="342" w:type="pct"/>
            <w:gridSpan w:val="2"/>
            <w:vMerge w:val="restart"/>
            <w:vAlign w:val="center"/>
          </w:tcPr>
          <w:p>
            <w:pPr>
              <w:pStyle w:val="44"/>
              <w:rPr>
                <w:kern w:val="0"/>
                <w:szCs w:val="21"/>
                <w:highlight w:val="none"/>
                <w:lang w:bidi="ar"/>
              </w:rPr>
            </w:pPr>
            <w:r>
              <w:rPr>
                <w:kern w:val="0"/>
                <w:szCs w:val="21"/>
                <w:highlight w:val="none"/>
                <w:lang w:bidi="ar"/>
              </w:rPr>
              <w:t>污水处理站进口</w:t>
            </w:r>
          </w:p>
        </w:tc>
        <w:tc>
          <w:tcPr>
            <w:tcW w:w="951" w:type="pct"/>
            <w:gridSpan w:val="2"/>
            <w:vAlign w:val="center"/>
          </w:tcPr>
          <w:p>
            <w:pPr>
              <w:pStyle w:val="44"/>
              <w:rPr>
                <w:kern w:val="0"/>
                <w:szCs w:val="21"/>
                <w:highlight w:val="none"/>
                <w:lang w:bidi="ar"/>
              </w:rPr>
            </w:pPr>
            <w:r>
              <w:rPr>
                <w:kern w:val="0"/>
                <w:szCs w:val="21"/>
                <w:highlight w:val="none"/>
                <w:lang w:bidi="ar"/>
              </w:rPr>
              <w:t>pH 值(无量纲)</w:t>
            </w:r>
          </w:p>
        </w:tc>
        <w:tc>
          <w:tcPr>
            <w:tcW w:w="501" w:type="pct"/>
            <w:gridSpan w:val="2"/>
            <w:vAlign w:val="center"/>
          </w:tcPr>
          <w:p>
            <w:pPr>
              <w:pStyle w:val="44"/>
              <w:rPr>
                <w:kern w:val="0"/>
                <w:szCs w:val="21"/>
                <w:highlight w:val="none"/>
                <w:lang w:bidi="ar"/>
              </w:rPr>
            </w:pPr>
            <w:r>
              <w:rPr>
                <w:kern w:val="0"/>
                <w:szCs w:val="21"/>
                <w:highlight w:val="none"/>
                <w:lang w:bidi="ar"/>
              </w:rPr>
              <w:t>7.9</w:t>
            </w:r>
          </w:p>
        </w:tc>
        <w:tc>
          <w:tcPr>
            <w:tcW w:w="464" w:type="pct"/>
            <w:gridSpan w:val="2"/>
            <w:vAlign w:val="center"/>
          </w:tcPr>
          <w:p>
            <w:pPr>
              <w:pStyle w:val="44"/>
              <w:rPr>
                <w:kern w:val="0"/>
                <w:szCs w:val="21"/>
                <w:highlight w:val="none"/>
                <w:lang w:bidi="ar"/>
              </w:rPr>
            </w:pPr>
            <w:r>
              <w:rPr>
                <w:kern w:val="0"/>
                <w:szCs w:val="21"/>
                <w:highlight w:val="none"/>
                <w:lang w:bidi="ar"/>
              </w:rPr>
              <w:t>7.9</w:t>
            </w:r>
          </w:p>
        </w:tc>
        <w:tc>
          <w:tcPr>
            <w:tcW w:w="481" w:type="pct"/>
            <w:gridSpan w:val="2"/>
            <w:vAlign w:val="center"/>
          </w:tcPr>
          <w:p>
            <w:pPr>
              <w:pStyle w:val="44"/>
              <w:rPr>
                <w:kern w:val="0"/>
                <w:szCs w:val="21"/>
                <w:highlight w:val="none"/>
                <w:lang w:bidi="ar"/>
              </w:rPr>
            </w:pPr>
            <w:r>
              <w:rPr>
                <w:kern w:val="0"/>
                <w:szCs w:val="21"/>
                <w:highlight w:val="none"/>
                <w:lang w:bidi="ar"/>
              </w:rPr>
              <w:t>7.9</w:t>
            </w:r>
          </w:p>
        </w:tc>
        <w:tc>
          <w:tcPr>
            <w:tcW w:w="445" w:type="pct"/>
            <w:gridSpan w:val="2"/>
            <w:vAlign w:val="center"/>
          </w:tcPr>
          <w:p>
            <w:pPr>
              <w:pStyle w:val="44"/>
              <w:rPr>
                <w:kern w:val="0"/>
                <w:szCs w:val="21"/>
                <w:highlight w:val="none"/>
                <w:lang w:bidi="ar"/>
              </w:rPr>
            </w:pPr>
            <w:r>
              <w:rPr>
                <w:kern w:val="0"/>
                <w:szCs w:val="21"/>
                <w:highlight w:val="none"/>
                <w:lang w:bidi="ar"/>
              </w:rPr>
              <w:t>7.9</w:t>
            </w:r>
          </w:p>
        </w:tc>
        <w:tc>
          <w:tcPr>
            <w:tcW w:w="460" w:type="pct"/>
            <w:gridSpan w:val="2"/>
            <w:vAlign w:val="center"/>
          </w:tcPr>
          <w:p>
            <w:pPr>
              <w:pStyle w:val="44"/>
              <w:rPr>
                <w:kern w:val="0"/>
                <w:szCs w:val="21"/>
                <w:highlight w:val="none"/>
                <w:lang w:bidi="ar"/>
              </w:rPr>
            </w:pPr>
            <w:r>
              <w:rPr>
                <w:rFonts w:hint="eastAsia"/>
                <w:kern w:val="0"/>
                <w:szCs w:val="21"/>
                <w:highlight w:val="none"/>
                <w:lang w:val="en-US" w:eastAsia="zh-CN" w:bidi="ar"/>
              </w:rPr>
              <w:t>7.9-</w:t>
            </w:r>
            <w:r>
              <w:rPr>
                <w:rFonts w:hint="eastAsia"/>
                <w:kern w:val="0"/>
                <w:szCs w:val="21"/>
                <w:highlight w:val="none"/>
                <w:lang w:bidi="ar"/>
              </w:rPr>
              <w:t>7.9</w:t>
            </w:r>
          </w:p>
        </w:tc>
        <w:tc>
          <w:tcPr>
            <w:tcW w:w="359"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w:t>
            </w:r>
          </w:p>
        </w:tc>
        <w:tc>
          <w:tcPr>
            <w:tcW w:w="38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highlight w:val="none"/>
                <w:lang w:bidi="ar"/>
              </w:rPr>
            </w:pPr>
          </w:p>
        </w:tc>
        <w:tc>
          <w:tcPr>
            <w:tcW w:w="342" w:type="pct"/>
            <w:gridSpan w:val="2"/>
            <w:vMerge w:val="continue"/>
            <w:vAlign w:val="center"/>
          </w:tcPr>
          <w:p>
            <w:pPr>
              <w:pStyle w:val="44"/>
              <w:rPr>
                <w:kern w:val="0"/>
                <w:szCs w:val="21"/>
                <w:highlight w:val="none"/>
                <w:lang w:bidi="ar"/>
              </w:rPr>
            </w:pPr>
          </w:p>
        </w:tc>
        <w:tc>
          <w:tcPr>
            <w:tcW w:w="951" w:type="pct"/>
            <w:gridSpan w:val="2"/>
            <w:vAlign w:val="center"/>
          </w:tcPr>
          <w:p>
            <w:pPr>
              <w:pStyle w:val="44"/>
              <w:rPr>
                <w:kern w:val="0"/>
                <w:szCs w:val="21"/>
                <w:highlight w:val="none"/>
                <w:lang w:bidi="ar"/>
              </w:rPr>
            </w:pPr>
            <w:r>
              <w:rPr>
                <w:kern w:val="0"/>
                <w:szCs w:val="21"/>
                <w:highlight w:val="none"/>
                <w:lang w:bidi="ar"/>
              </w:rPr>
              <w:t>五日生化需氧量</w:t>
            </w:r>
          </w:p>
        </w:tc>
        <w:tc>
          <w:tcPr>
            <w:tcW w:w="501" w:type="pct"/>
            <w:gridSpan w:val="2"/>
            <w:vAlign w:val="center"/>
          </w:tcPr>
          <w:p>
            <w:pPr>
              <w:pStyle w:val="44"/>
              <w:rPr>
                <w:kern w:val="0"/>
                <w:szCs w:val="21"/>
                <w:highlight w:val="none"/>
                <w:lang w:bidi="ar"/>
              </w:rPr>
            </w:pPr>
            <w:r>
              <w:rPr>
                <w:kern w:val="0"/>
                <w:szCs w:val="21"/>
                <w:highlight w:val="none"/>
                <w:lang w:bidi="ar"/>
              </w:rPr>
              <w:t>114</w:t>
            </w:r>
          </w:p>
        </w:tc>
        <w:tc>
          <w:tcPr>
            <w:tcW w:w="464" w:type="pct"/>
            <w:gridSpan w:val="2"/>
            <w:vAlign w:val="center"/>
          </w:tcPr>
          <w:p>
            <w:pPr>
              <w:pStyle w:val="44"/>
              <w:rPr>
                <w:kern w:val="0"/>
                <w:szCs w:val="21"/>
                <w:highlight w:val="none"/>
                <w:lang w:bidi="ar"/>
              </w:rPr>
            </w:pPr>
            <w:r>
              <w:rPr>
                <w:rFonts w:hint="eastAsia"/>
                <w:kern w:val="0"/>
                <w:szCs w:val="21"/>
                <w:highlight w:val="none"/>
                <w:lang w:bidi="ar"/>
              </w:rPr>
              <w:t>118</w:t>
            </w:r>
          </w:p>
        </w:tc>
        <w:tc>
          <w:tcPr>
            <w:tcW w:w="481" w:type="pct"/>
            <w:gridSpan w:val="2"/>
            <w:vAlign w:val="center"/>
          </w:tcPr>
          <w:p>
            <w:pPr>
              <w:pStyle w:val="44"/>
              <w:rPr>
                <w:kern w:val="0"/>
                <w:szCs w:val="21"/>
                <w:highlight w:val="none"/>
                <w:lang w:bidi="ar"/>
              </w:rPr>
            </w:pPr>
            <w:r>
              <w:rPr>
                <w:rFonts w:hint="eastAsia"/>
                <w:kern w:val="0"/>
                <w:szCs w:val="21"/>
                <w:highlight w:val="none"/>
                <w:lang w:bidi="ar"/>
              </w:rPr>
              <w:t>123</w:t>
            </w:r>
          </w:p>
        </w:tc>
        <w:tc>
          <w:tcPr>
            <w:tcW w:w="445" w:type="pct"/>
            <w:gridSpan w:val="2"/>
            <w:vAlign w:val="center"/>
          </w:tcPr>
          <w:p>
            <w:pPr>
              <w:pStyle w:val="44"/>
              <w:rPr>
                <w:kern w:val="0"/>
                <w:szCs w:val="21"/>
                <w:highlight w:val="none"/>
                <w:lang w:bidi="ar"/>
              </w:rPr>
            </w:pPr>
            <w:r>
              <w:rPr>
                <w:rFonts w:hint="eastAsia"/>
                <w:kern w:val="0"/>
                <w:szCs w:val="21"/>
                <w:highlight w:val="none"/>
                <w:lang w:bidi="ar"/>
              </w:rPr>
              <w:t>115</w:t>
            </w:r>
          </w:p>
        </w:tc>
        <w:tc>
          <w:tcPr>
            <w:tcW w:w="460" w:type="pct"/>
            <w:gridSpan w:val="2"/>
            <w:vAlign w:val="center"/>
          </w:tcPr>
          <w:p>
            <w:pPr>
              <w:pStyle w:val="44"/>
              <w:rPr>
                <w:kern w:val="0"/>
                <w:szCs w:val="21"/>
                <w:highlight w:val="none"/>
                <w:lang w:bidi="ar"/>
              </w:rPr>
            </w:pPr>
            <w:r>
              <w:rPr>
                <w:rFonts w:hint="eastAsia"/>
                <w:kern w:val="0"/>
                <w:szCs w:val="21"/>
                <w:highlight w:val="none"/>
                <w:lang w:bidi="ar"/>
              </w:rPr>
              <w:t>118</w:t>
            </w:r>
          </w:p>
        </w:tc>
        <w:tc>
          <w:tcPr>
            <w:tcW w:w="359" w:type="pct"/>
            <w:gridSpan w:val="2"/>
            <w:vAlign w:val="center"/>
          </w:tcPr>
          <w:p>
            <w:pPr>
              <w:spacing w:line="240" w:lineRule="auto"/>
              <w:ind w:firstLine="0" w:firstLineChars="0"/>
              <w:jc w:val="center"/>
              <w:rPr>
                <w:sz w:val="21"/>
                <w:szCs w:val="21"/>
                <w:highlight w:val="none"/>
              </w:rPr>
            </w:pPr>
            <w:r>
              <w:rPr>
                <w:sz w:val="21"/>
                <w:szCs w:val="21"/>
                <w:highlight w:val="none"/>
              </w:rPr>
              <w:t>/</w:t>
            </w:r>
          </w:p>
        </w:tc>
        <w:tc>
          <w:tcPr>
            <w:tcW w:w="38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highlight w:val="none"/>
                <w:lang w:bidi="ar"/>
              </w:rPr>
            </w:pPr>
          </w:p>
        </w:tc>
        <w:tc>
          <w:tcPr>
            <w:tcW w:w="342" w:type="pct"/>
            <w:gridSpan w:val="2"/>
            <w:vMerge w:val="continue"/>
            <w:vAlign w:val="center"/>
          </w:tcPr>
          <w:p>
            <w:pPr>
              <w:pStyle w:val="44"/>
              <w:rPr>
                <w:kern w:val="0"/>
                <w:szCs w:val="21"/>
                <w:highlight w:val="none"/>
                <w:lang w:bidi="ar"/>
              </w:rPr>
            </w:pPr>
          </w:p>
        </w:tc>
        <w:tc>
          <w:tcPr>
            <w:tcW w:w="951" w:type="pct"/>
            <w:gridSpan w:val="2"/>
            <w:vAlign w:val="center"/>
          </w:tcPr>
          <w:p>
            <w:pPr>
              <w:pStyle w:val="44"/>
              <w:rPr>
                <w:kern w:val="0"/>
                <w:szCs w:val="21"/>
                <w:highlight w:val="none"/>
                <w:lang w:bidi="ar"/>
              </w:rPr>
            </w:pPr>
            <w:r>
              <w:rPr>
                <w:kern w:val="0"/>
                <w:szCs w:val="21"/>
                <w:highlight w:val="none"/>
                <w:lang w:bidi="ar"/>
              </w:rPr>
              <w:t>溶解性总固体</w:t>
            </w:r>
          </w:p>
        </w:tc>
        <w:tc>
          <w:tcPr>
            <w:tcW w:w="501" w:type="pct"/>
            <w:gridSpan w:val="2"/>
            <w:vAlign w:val="center"/>
          </w:tcPr>
          <w:p>
            <w:pPr>
              <w:pStyle w:val="44"/>
              <w:rPr>
                <w:kern w:val="0"/>
                <w:szCs w:val="21"/>
                <w:highlight w:val="none"/>
                <w:lang w:bidi="ar"/>
              </w:rPr>
            </w:pPr>
            <w:r>
              <w:rPr>
                <w:rFonts w:hint="eastAsia"/>
                <w:kern w:val="0"/>
                <w:szCs w:val="21"/>
                <w:highlight w:val="none"/>
                <w:lang w:bidi="ar"/>
              </w:rPr>
              <w:t>1035</w:t>
            </w:r>
          </w:p>
        </w:tc>
        <w:tc>
          <w:tcPr>
            <w:tcW w:w="464" w:type="pct"/>
            <w:gridSpan w:val="2"/>
            <w:vAlign w:val="center"/>
          </w:tcPr>
          <w:p>
            <w:pPr>
              <w:pStyle w:val="44"/>
              <w:rPr>
                <w:kern w:val="0"/>
                <w:szCs w:val="21"/>
                <w:highlight w:val="none"/>
                <w:lang w:bidi="ar"/>
              </w:rPr>
            </w:pPr>
            <w:r>
              <w:rPr>
                <w:rFonts w:hint="eastAsia"/>
                <w:kern w:val="0"/>
                <w:szCs w:val="21"/>
                <w:highlight w:val="none"/>
                <w:lang w:bidi="ar"/>
              </w:rPr>
              <w:t>1063</w:t>
            </w:r>
          </w:p>
        </w:tc>
        <w:tc>
          <w:tcPr>
            <w:tcW w:w="481" w:type="pct"/>
            <w:gridSpan w:val="2"/>
            <w:vAlign w:val="center"/>
          </w:tcPr>
          <w:p>
            <w:pPr>
              <w:pStyle w:val="44"/>
              <w:rPr>
                <w:kern w:val="0"/>
                <w:szCs w:val="21"/>
                <w:highlight w:val="none"/>
                <w:lang w:bidi="ar"/>
              </w:rPr>
            </w:pPr>
            <w:r>
              <w:rPr>
                <w:rFonts w:hint="eastAsia"/>
                <w:kern w:val="0"/>
                <w:szCs w:val="21"/>
                <w:highlight w:val="none"/>
                <w:lang w:bidi="ar"/>
              </w:rPr>
              <w:t>1015</w:t>
            </w:r>
          </w:p>
        </w:tc>
        <w:tc>
          <w:tcPr>
            <w:tcW w:w="445" w:type="pct"/>
            <w:gridSpan w:val="2"/>
            <w:vAlign w:val="center"/>
          </w:tcPr>
          <w:p>
            <w:pPr>
              <w:pStyle w:val="44"/>
              <w:rPr>
                <w:kern w:val="0"/>
                <w:szCs w:val="21"/>
                <w:highlight w:val="none"/>
                <w:lang w:bidi="ar"/>
              </w:rPr>
            </w:pPr>
            <w:r>
              <w:rPr>
                <w:rFonts w:hint="eastAsia"/>
                <w:kern w:val="0"/>
                <w:szCs w:val="21"/>
                <w:highlight w:val="none"/>
                <w:lang w:bidi="ar"/>
              </w:rPr>
              <w:t>1041</w:t>
            </w:r>
          </w:p>
        </w:tc>
        <w:tc>
          <w:tcPr>
            <w:tcW w:w="460" w:type="pct"/>
            <w:gridSpan w:val="2"/>
            <w:vAlign w:val="center"/>
          </w:tcPr>
          <w:p>
            <w:pPr>
              <w:pStyle w:val="44"/>
              <w:rPr>
                <w:kern w:val="0"/>
                <w:szCs w:val="21"/>
                <w:highlight w:val="none"/>
                <w:lang w:bidi="ar"/>
              </w:rPr>
            </w:pPr>
            <w:r>
              <w:rPr>
                <w:rFonts w:hint="eastAsia"/>
                <w:kern w:val="0"/>
                <w:szCs w:val="21"/>
                <w:highlight w:val="none"/>
                <w:lang w:bidi="ar"/>
              </w:rPr>
              <w:t>1038</w:t>
            </w:r>
          </w:p>
        </w:tc>
        <w:tc>
          <w:tcPr>
            <w:tcW w:w="359" w:type="pct"/>
            <w:gridSpan w:val="2"/>
            <w:vAlign w:val="center"/>
          </w:tcPr>
          <w:p>
            <w:pPr>
              <w:spacing w:line="240" w:lineRule="auto"/>
              <w:ind w:firstLine="0" w:firstLineChars="0"/>
              <w:jc w:val="center"/>
              <w:rPr>
                <w:sz w:val="21"/>
                <w:szCs w:val="21"/>
                <w:highlight w:val="none"/>
              </w:rPr>
            </w:pPr>
            <w:r>
              <w:rPr>
                <w:sz w:val="21"/>
                <w:szCs w:val="21"/>
                <w:highlight w:val="none"/>
              </w:rPr>
              <w:t>/</w:t>
            </w:r>
          </w:p>
        </w:tc>
        <w:tc>
          <w:tcPr>
            <w:tcW w:w="38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74"/>
              <w:jc w:val="center"/>
              <w:rPr>
                <w:rFonts w:ascii="Times New Roman" w:hAnsi="Times New Roman"/>
                <w:szCs w:val="21"/>
                <w:highlight w:val="none"/>
              </w:rPr>
            </w:pPr>
          </w:p>
        </w:tc>
        <w:tc>
          <w:tcPr>
            <w:tcW w:w="342" w:type="pct"/>
            <w:gridSpan w:val="2"/>
            <w:vMerge w:val="continue"/>
            <w:vAlign w:val="center"/>
          </w:tcPr>
          <w:p>
            <w:pPr>
              <w:pStyle w:val="74"/>
              <w:jc w:val="center"/>
              <w:rPr>
                <w:rFonts w:ascii="Times New Roman" w:hAnsi="Times New Roman"/>
                <w:szCs w:val="21"/>
                <w:highlight w:val="none"/>
              </w:rPr>
            </w:pPr>
          </w:p>
        </w:tc>
        <w:tc>
          <w:tcPr>
            <w:tcW w:w="95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粪大肠菌群</w:t>
            </w:r>
          </w:p>
        </w:tc>
        <w:tc>
          <w:tcPr>
            <w:tcW w:w="50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 xml:space="preserve">4.9 × 10³ </w:t>
            </w:r>
          </w:p>
        </w:tc>
        <w:tc>
          <w:tcPr>
            <w:tcW w:w="464"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3.3 × 10³</w:t>
            </w:r>
          </w:p>
        </w:tc>
        <w:tc>
          <w:tcPr>
            <w:tcW w:w="48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7.0 × 10³</w:t>
            </w:r>
          </w:p>
        </w:tc>
        <w:tc>
          <w:tcPr>
            <w:tcW w:w="445"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 xml:space="preserve">4.9 × 10³ </w:t>
            </w:r>
          </w:p>
        </w:tc>
        <w:tc>
          <w:tcPr>
            <w:tcW w:w="460"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 xml:space="preserve">5.0 × 10³ </w:t>
            </w:r>
          </w:p>
        </w:tc>
        <w:tc>
          <w:tcPr>
            <w:tcW w:w="359" w:type="pct"/>
            <w:gridSpan w:val="2"/>
            <w:vAlign w:val="center"/>
          </w:tcPr>
          <w:p>
            <w:pPr>
              <w:spacing w:line="240" w:lineRule="auto"/>
              <w:ind w:firstLine="0" w:firstLineChars="0"/>
              <w:jc w:val="center"/>
              <w:rPr>
                <w:sz w:val="21"/>
                <w:szCs w:val="21"/>
                <w:highlight w:val="none"/>
              </w:rPr>
            </w:pPr>
            <w:r>
              <w:rPr>
                <w:sz w:val="21"/>
                <w:szCs w:val="21"/>
                <w:highlight w:val="none"/>
              </w:rPr>
              <w:t>/</w:t>
            </w:r>
          </w:p>
        </w:tc>
        <w:tc>
          <w:tcPr>
            <w:tcW w:w="381" w:type="pct"/>
            <w:gridSpan w:val="2"/>
            <w:vAlign w:val="center"/>
          </w:tcPr>
          <w:p>
            <w:pPr>
              <w:pStyle w:val="74"/>
              <w:jc w:val="center"/>
              <w:rPr>
                <w:rFonts w:ascii="Times New Roman" w:hAnsi="Times New Roman"/>
                <w:szCs w:val="21"/>
                <w:highlight w:val="none"/>
              </w:rPr>
            </w:pPr>
            <w:r>
              <w:rPr>
                <w:rFonts w:ascii="Times New Roman" w:hAnsi="Times New Roman"/>
                <w:color w:val="000000"/>
                <w:kern w:val="0"/>
                <w:sz w:val="20"/>
                <w:szCs w:val="20"/>
                <w:highlight w:val="none"/>
                <w:lang w:bidi="ar"/>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74"/>
              <w:jc w:val="center"/>
              <w:rPr>
                <w:rFonts w:ascii="Times New Roman" w:hAnsi="Times New Roman"/>
                <w:szCs w:val="21"/>
                <w:highlight w:val="none"/>
              </w:rPr>
            </w:pPr>
          </w:p>
        </w:tc>
        <w:tc>
          <w:tcPr>
            <w:tcW w:w="342" w:type="pct"/>
            <w:gridSpan w:val="2"/>
            <w:vMerge w:val="continue"/>
            <w:vAlign w:val="center"/>
          </w:tcPr>
          <w:p>
            <w:pPr>
              <w:pStyle w:val="74"/>
              <w:jc w:val="center"/>
              <w:rPr>
                <w:rFonts w:ascii="Times New Roman" w:hAnsi="Times New Roman"/>
                <w:szCs w:val="21"/>
                <w:highlight w:val="none"/>
              </w:rPr>
            </w:pPr>
          </w:p>
        </w:tc>
        <w:tc>
          <w:tcPr>
            <w:tcW w:w="95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色度</w:t>
            </w:r>
          </w:p>
        </w:tc>
        <w:tc>
          <w:tcPr>
            <w:tcW w:w="501" w:type="pct"/>
            <w:gridSpan w:val="2"/>
            <w:vAlign w:val="center"/>
          </w:tcPr>
          <w:p>
            <w:pPr>
              <w:pStyle w:val="74"/>
              <w:spacing w:line="240" w:lineRule="exact"/>
              <w:jc w:val="center"/>
              <w:rPr>
                <w:rFonts w:ascii="Times New Roman" w:hAnsi="Times New Roman"/>
                <w:szCs w:val="21"/>
                <w:highlight w:val="none"/>
              </w:rPr>
            </w:pPr>
            <w:r>
              <w:rPr>
                <w:rFonts w:ascii="Times New Roman" w:hAnsi="Times New Roman"/>
                <w:szCs w:val="21"/>
                <w:highlight w:val="none"/>
              </w:rPr>
              <w:t xml:space="preserve">20 </w:t>
            </w:r>
          </w:p>
        </w:tc>
        <w:tc>
          <w:tcPr>
            <w:tcW w:w="464" w:type="pct"/>
            <w:gridSpan w:val="2"/>
            <w:vAlign w:val="center"/>
          </w:tcPr>
          <w:p>
            <w:pPr>
              <w:pStyle w:val="74"/>
              <w:spacing w:line="240" w:lineRule="exact"/>
              <w:jc w:val="center"/>
              <w:rPr>
                <w:rFonts w:ascii="Times New Roman" w:hAnsi="Times New Roman"/>
                <w:szCs w:val="21"/>
                <w:highlight w:val="none"/>
              </w:rPr>
            </w:pPr>
            <w:r>
              <w:rPr>
                <w:rFonts w:ascii="Times New Roman" w:hAnsi="Times New Roman"/>
                <w:szCs w:val="21"/>
                <w:highlight w:val="none"/>
              </w:rPr>
              <w:t xml:space="preserve">20 </w:t>
            </w:r>
          </w:p>
        </w:tc>
        <w:tc>
          <w:tcPr>
            <w:tcW w:w="481" w:type="pct"/>
            <w:gridSpan w:val="2"/>
            <w:vAlign w:val="center"/>
          </w:tcPr>
          <w:p>
            <w:pPr>
              <w:pStyle w:val="74"/>
              <w:spacing w:line="240" w:lineRule="exact"/>
              <w:jc w:val="center"/>
              <w:rPr>
                <w:rFonts w:ascii="Times New Roman" w:hAnsi="Times New Roman"/>
                <w:szCs w:val="21"/>
                <w:highlight w:val="none"/>
              </w:rPr>
            </w:pPr>
            <w:r>
              <w:rPr>
                <w:rFonts w:ascii="Times New Roman" w:hAnsi="Times New Roman"/>
                <w:szCs w:val="21"/>
                <w:highlight w:val="none"/>
              </w:rPr>
              <w:t xml:space="preserve">20 </w:t>
            </w:r>
          </w:p>
        </w:tc>
        <w:tc>
          <w:tcPr>
            <w:tcW w:w="445" w:type="pct"/>
            <w:gridSpan w:val="2"/>
            <w:vAlign w:val="center"/>
          </w:tcPr>
          <w:p>
            <w:pPr>
              <w:pStyle w:val="74"/>
              <w:spacing w:line="240" w:lineRule="exact"/>
              <w:jc w:val="center"/>
              <w:rPr>
                <w:rFonts w:ascii="Times New Roman" w:hAnsi="Times New Roman"/>
                <w:szCs w:val="21"/>
                <w:highlight w:val="none"/>
              </w:rPr>
            </w:pPr>
            <w:r>
              <w:rPr>
                <w:rFonts w:ascii="Times New Roman" w:hAnsi="Times New Roman"/>
                <w:szCs w:val="21"/>
                <w:highlight w:val="none"/>
              </w:rPr>
              <w:t xml:space="preserve">20 </w:t>
            </w:r>
          </w:p>
        </w:tc>
        <w:tc>
          <w:tcPr>
            <w:tcW w:w="460" w:type="pct"/>
            <w:gridSpan w:val="2"/>
            <w:vAlign w:val="center"/>
          </w:tcPr>
          <w:p>
            <w:pPr>
              <w:pStyle w:val="74"/>
              <w:spacing w:line="240" w:lineRule="exact"/>
              <w:jc w:val="center"/>
              <w:rPr>
                <w:rFonts w:ascii="Times New Roman" w:hAnsi="Times New Roman"/>
                <w:szCs w:val="21"/>
                <w:highlight w:val="none"/>
              </w:rPr>
            </w:pPr>
            <w:r>
              <w:rPr>
                <w:rFonts w:hint="eastAsia" w:ascii="Times New Roman" w:hAnsi="Times New Roman"/>
                <w:szCs w:val="21"/>
                <w:highlight w:val="none"/>
              </w:rPr>
              <w:t>20</w:t>
            </w:r>
          </w:p>
        </w:tc>
        <w:tc>
          <w:tcPr>
            <w:tcW w:w="359" w:type="pct"/>
            <w:gridSpan w:val="2"/>
            <w:vAlign w:val="center"/>
          </w:tcPr>
          <w:p>
            <w:pPr>
              <w:spacing w:line="240" w:lineRule="auto"/>
              <w:ind w:firstLine="0" w:firstLineChars="0"/>
              <w:jc w:val="center"/>
              <w:rPr>
                <w:sz w:val="21"/>
                <w:szCs w:val="21"/>
                <w:highlight w:val="none"/>
              </w:rPr>
            </w:pPr>
            <w:r>
              <w:rPr>
                <w:sz w:val="21"/>
                <w:szCs w:val="21"/>
                <w:highlight w:val="none"/>
              </w:rPr>
              <w:t>/</w:t>
            </w:r>
          </w:p>
        </w:tc>
        <w:tc>
          <w:tcPr>
            <w:tcW w:w="38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74"/>
              <w:jc w:val="center"/>
              <w:rPr>
                <w:rFonts w:ascii="Times New Roman" w:hAnsi="Times New Roman"/>
                <w:szCs w:val="21"/>
                <w:highlight w:val="none"/>
              </w:rPr>
            </w:pPr>
          </w:p>
        </w:tc>
        <w:tc>
          <w:tcPr>
            <w:tcW w:w="342" w:type="pct"/>
            <w:gridSpan w:val="2"/>
            <w:vMerge w:val="continue"/>
            <w:vAlign w:val="center"/>
          </w:tcPr>
          <w:p>
            <w:pPr>
              <w:pStyle w:val="74"/>
              <w:jc w:val="center"/>
              <w:rPr>
                <w:rFonts w:ascii="Times New Roman" w:hAnsi="Times New Roman"/>
                <w:szCs w:val="21"/>
                <w:highlight w:val="none"/>
              </w:rPr>
            </w:pPr>
          </w:p>
        </w:tc>
        <w:tc>
          <w:tcPr>
            <w:tcW w:w="95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阴离子表面活性剂</w:t>
            </w:r>
          </w:p>
        </w:tc>
        <w:tc>
          <w:tcPr>
            <w:tcW w:w="501" w:type="pct"/>
            <w:gridSpan w:val="2"/>
            <w:vAlign w:val="center"/>
          </w:tcPr>
          <w:p>
            <w:pPr>
              <w:pStyle w:val="74"/>
              <w:spacing w:line="240" w:lineRule="exact"/>
              <w:jc w:val="center"/>
              <w:rPr>
                <w:rFonts w:ascii="Times New Roman" w:hAnsi="Times New Roman"/>
                <w:szCs w:val="21"/>
                <w:highlight w:val="none"/>
              </w:rPr>
            </w:pPr>
            <w:r>
              <w:rPr>
                <w:rFonts w:hint="eastAsia" w:ascii="Times New Roman" w:hAnsi="Times New Roman"/>
                <w:szCs w:val="21"/>
                <w:highlight w:val="none"/>
              </w:rPr>
              <w:t>0.31</w:t>
            </w:r>
          </w:p>
        </w:tc>
        <w:tc>
          <w:tcPr>
            <w:tcW w:w="464" w:type="pct"/>
            <w:gridSpan w:val="2"/>
            <w:vAlign w:val="center"/>
          </w:tcPr>
          <w:p>
            <w:pPr>
              <w:pStyle w:val="74"/>
              <w:spacing w:line="240" w:lineRule="exact"/>
              <w:jc w:val="center"/>
              <w:rPr>
                <w:rFonts w:ascii="Times New Roman" w:hAnsi="Times New Roman"/>
                <w:szCs w:val="21"/>
                <w:highlight w:val="none"/>
              </w:rPr>
            </w:pPr>
            <w:r>
              <w:rPr>
                <w:rFonts w:hint="eastAsia" w:ascii="Times New Roman" w:hAnsi="Times New Roman"/>
                <w:szCs w:val="21"/>
                <w:highlight w:val="none"/>
              </w:rPr>
              <w:t>0.30</w:t>
            </w:r>
          </w:p>
        </w:tc>
        <w:tc>
          <w:tcPr>
            <w:tcW w:w="481" w:type="pct"/>
            <w:gridSpan w:val="2"/>
            <w:vAlign w:val="center"/>
          </w:tcPr>
          <w:p>
            <w:pPr>
              <w:pStyle w:val="74"/>
              <w:spacing w:line="240" w:lineRule="exact"/>
              <w:jc w:val="center"/>
              <w:rPr>
                <w:rFonts w:ascii="Times New Roman" w:hAnsi="Times New Roman"/>
                <w:szCs w:val="21"/>
                <w:highlight w:val="none"/>
              </w:rPr>
            </w:pPr>
            <w:r>
              <w:rPr>
                <w:rFonts w:hint="eastAsia" w:ascii="Times New Roman" w:hAnsi="Times New Roman"/>
                <w:szCs w:val="21"/>
                <w:highlight w:val="none"/>
              </w:rPr>
              <w:t>0.29</w:t>
            </w:r>
          </w:p>
        </w:tc>
        <w:tc>
          <w:tcPr>
            <w:tcW w:w="445" w:type="pct"/>
            <w:gridSpan w:val="2"/>
            <w:vAlign w:val="center"/>
          </w:tcPr>
          <w:p>
            <w:pPr>
              <w:pStyle w:val="74"/>
              <w:spacing w:line="240" w:lineRule="exact"/>
              <w:jc w:val="center"/>
              <w:rPr>
                <w:rFonts w:ascii="Times New Roman" w:hAnsi="Times New Roman"/>
                <w:szCs w:val="21"/>
                <w:highlight w:val="none"/>
              </w:rPr>
            </w:pPr>
            <w:r>
              <w:rPr>
                <w:rFonts w:hint="eastAsia" w:ascii="Times New Roman" w:hAnsi="Times New Roman"/>
                <w:szCs w:val="21"/>
                <w:highlight w:val="none"/>
              </w:rPr>
              <w:t>0.30</w:t>
            </w:r>
          </w:p>
        </w:tc>
        <w:tc>
          <w:tcPr>
            <w:tcW w:w="460" w:type="pct"/>
            <w:gridSpan w:val="2"/>
            <w:vAlign w:val="center"/>
          </w:tcPr>
          <w:p>
            <w:pPr>
              <w:pStyle w:val="74"/>
              <w:spacing w:line="240" w:lineRule="exact"/>
              <w:jc w:val="center"/>
              <w:rPr>
                <w:rFonts w:ascii="Times New Roman" w:hAnsi="Times New Roman"/>
                <w:szCs w:val="21"/>
                <w:highlight w:val="none"/>
              </w:rPr>
            </w:pPr>
            <w:r>
              <w:rPr>
                <w:rFonts w:hint="eastAsia" w:ascii="Times New Roman" w:hAnsi="Times New Roman"/>
                <w:szCs w:val="21"/>
                <w:highlight w:val="none"/>
              </w:rPr>
              <w:t>0.30</w:t>
            </w:r>
          </w:p>
        </w:tc>
        <w:tc>
          <w:tcPr>
            <w:tcW w:w="359" w:type="pct"/>
            <w:gridSpan w:val="2"/>
            <w:vAlign w:val="center"/>
          </w:tcPr>
          <w:p>
            <w:pPr>
              <w:spacing w:line="240" w:lineRule="auto"/>
              <w:ind w:firstLine="0" w:firstLineChars="0"/>
              <w:jc w:val="center"/>
              <w:rPr>
                <w:sz w:val="21"/>
                <w:szCs w:val="21"/>
                <w:highlight w:val="none"/>
              </w:rPr>
            </w:pPr>
            <w:r>
              <w:rPr>
                <w:sz w:val="21"/>
                <w:szCs w:val="21"/>
                <w:highlight w:val="none"/>
              </w:rPr>
              <w:t>/</w:t>
            </w:r>
          </w:p>
        </w:tc>
        <w:tc>
          <w:tcPr>
            <w:tcW w:w="381" w:type="pct"/>
            <w:gridSpan w:val="2"/>
            <w:vAlign w:val="center"/>
          </w:tcPr>
          <w:p>
            <w:pPr>
              <w:pStyle w:val="74"/>
              <w:jc w:val="center"/>
              <w:rPr>
                <w:rFonts w:ascii="Times New Roman" w:hAnsi="Times New Roman"/>
                <w:szCs w:val="21"/>
                <w:highlight w:val="none"/>
              </w:rPr>
            </w:pPr>
            <w:r>
              <w:rPr>
                <w:rFonts w:ascii="Times New Roman" w:hAnsi="Times New Roman"/>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restart"/>
            <w:vAlign w:val="center"/>
          </w:tcPr>
          <w:p>
            <w:pPr>
              <w:pStyle w:val="44"/>
              <w:rPr>
                <w:kern w:val="0"/>
                <w:szCs w:val="21"/>
                <w:highlight w:val="none"/>
                <w:lang w:bidi="ar"/>
              </w:rPr>
            </w:pPr>
            <w:r>
              <w:rPr>
                <w:kern w:val="0"/>
                <w:szCs w:val="21"/>
                <w:highlight w:val="none"/>
                <w:lang w:bidi="ar"/>
              </w:rPr>
              <w:t>2024-02-28</w:t>
            </w:r>
          </w:p>
        </w:tc>
        <w:tc>
          <w:tcPr>
            <w:tcW w:w="342" w:type="pct"/>
            <w:gridSpan w:val="2"/>
            <w:vMerge w:val="restart"/>
            <w:vAlign w:val="center"/>
          </w:tcPr>
          <w:p>
            <w:pPr>
              <w:pStyle w:val="44"/>
              <w:rPr>
                <w:kern w:val="0"/>
                <w:szCs w:val="21"/>
                <w:highlight w:val="none"/>
                <w:lang w:bidi="ar"/>
              </w:rPr>
            </w:pPr>
            <w:r>
              <w:rPr>
                <w:kern w:val="0"/>
                <w:szCs w:val="21"/>
                <w:highlight w:val="none"/>
                <w:lang w:bidi="ar"/>
              </w:rPr>
              <w:t>污水处理设施</w:t>
            </w:r>
            <w:r>
              <w:rPr>
                <w:rFonts w:hint="eastAsia"/>
                <w:kern w:val="0"/>
                <w:szCs w:val="21"/>
                <w:highlight w:val="none"/>
                <w:lang w:bidi="ar"/>
              </w:rPr>
              <w:t>出</w:t>
            </w:r>
            <w:r>
              <w:rPr>
                <w:kern w:val="0"/>
                <w:szCs w:val="21"/>
                <w:highlight w:val="none"/>
                <w:lang w:bidi="ar"/>
              </w:rPr>
              <w:t>口</w:t>
            </w:r>
          </w:p>
        </w:tc>
        <w:tc>
          <w:tcPr>
            <w:tcW w:w="951" w:type="pct"/>
            <w:gridSpan w:val="2"/>
            <w:vAlign w:val="center"/>
          </w:tcPr>
          <w:p>
            <w:pPr>
              <w:pStyle w:val="44"/>
              <w:rPr>
                <w:kern w:val="0"/>
                <w:szCs w:val="21"/>
                <w:highlight w:val="none"/>
                <w:lang w:bidi="ar"/>
              </w:rPr>
            </w:pPr>
            <w:r>
              <w:rPr>
                <w:kern w:val="0"/>
                <w:szCs w:val="21"/>
                <w:highlight w:val="none"/>
                <w:lang w:bidi="ar"/>
              </w:rPr>
              <w:t>pH 值(无量纲)</w:t>
            </w:r>
          </w:p>
        </w:tc>
        <w:tc>
          <w:tcPr>
            <w:tcW w:w="501" w:type="pct"/>
            <w:gridSpan w:val="2"/>
            <w:vAlign w:val="center"/>
          </w:tcPr>
          <w:p>
            <w:pPr>
              <w:pStyle w:val="44"/>
              <w:rPr>
                <w:kern w:val="0"/>
                <w:szCs w:val="21"/>
                <w:highlight w:val="none"/>
                <w:lang w:bidi="ar"/>
              </w:rPr>
            </w:pPr>
            <w:r>
              <w:rPr>
                <w:kern w:val="0"/>
                <w:szCs w:val="21"/>
                <w:highlight w:val="none"/>
                <w:lang w:bidi="ar"/>
              </w:rPr>
              <w:t>7.8</w:t>
            </w:r>
          </w:p>
        </w:tc>
        <w:tc>
          <w:tcPr>
            <w:tcW w:w="464" w:type="pct"/>
            <w:gridSpan w:val="2"/>
            <w:vAlign w:val="center"/>
          </w:tcPr>
          <w:p>
            <w:pPr>
              <w:pStyle w:val="44"/>
              <w:rPr>
                <w:kern w:val="0"/>
                <w:szCs w:val="21"/>
                <w:highlight w:val="none"/>
                <w:lang w:bidi="ar"/>
              </w:rPr>
            </w:pPr>
            <w:r>
              <w:rPr>
                <w:kern w:val="0"/>
                <w:szCs w:val="21"/>
                <w:highlight w:val="none"/>
                <w:lang w:bidi="ar"/>
              </w:rPr>
              <w:t>7.8</w:t>
            </w:r>
          </w:p>
        </w:tc>
        <w:tc>
          <w:tcPr>
            <w:tcW w:w="481" w:type="pct"/>
            <w:gridSpan w:val="2"/>
            <w:vAlign w:val="center"/>
          </w:tcPr>
          <w:p>
            <w:pPr>
              <w:pStyle w:val="44"/>
              <w:rPr>
                <w:kern w:val="0"/>
                <w:szCs w:val="21"/>
                <w:highlight w:val="none"/>
                <w:lang w:bidi="ar"/>
              </w:rPr>
            </w:pPr>
            <w:r>
              <w:rPr>
                <w:kern w:val="0"/>
                <w:szCs w:val="21"/>
                <w:highlight w:val="none"/>
                <w:lang w:bidi="ar"/>
              </w:rPr>
              <w:t>7.8</w:t>
            </w:r>
          </w:p>
        </w:tc>
        <w:tc>
          <w:tcPr>
            <w:tcW w:w="445" w:type="pct"/>
            <w:gridSpan w:val="2"/>
            <w:vAlign w:val="center"/>
          </w:tcPr>
          <w:p>
            <w:pPr>
              <w:pStyle w:val="44"/>
              <w:rPr>
                <w:kern w:val="0"/>
                <w:szCs w:val="21"/>
                <w:highlight w:val="none"/>
                <w:lang w:bidi="ar"/>
              </w:rPr>
            </w:pPr>
            <w:r>
              <w:rPr>
                <w:kern w:val="0"/>
                <w:szCs w:val="21"/>
                <w:highlight w:val="none"/>
                <w:lang w:bidi="ar"/>
              </w:rPr>
              <w:t>7.8</w:t>
            </w:r>
          </w:p>
        </w:tc>
        <w:tc>
          <w:tcPr>
            <w:tcW w:w="460" w:type="pct"/>
            <w:gridSpan w:val="2"/>
            <w:vAlign w:val="center"/>
          </w:tcPr>
          <w:p>
            <w:pPr>
              <w:pStyle w:val="44"/>
              <w:rPr>
                <w:kern w:val="0"/>
                <w:szCs w:val="21"/>
                <w:highlight w:val="none"/>
                <w:lang w:bidi="ar"/>
              </w:rPr>
            </w:pPr>
            <w:r>
              <w:rPr>
                <w:rFonts w:hint="eastAsia"/>
                <w:kern w:val="0"/>
                <w:szCs w:val="21"/>
                <w:highlight w:val="none"/>
                <w:lang w:val="en-US" w:eastAsia="zh-CN" w:bidi="ar"/>
              </w:rPr>
              <w:t>7.8-</w:t>
            </w:r>
            <w:r>
              <w:rPr>
                <w:rFonts w:hint="eastAsia"/>
                <w:kern w:val="0"/>
                <w:szCs w:val="21"/>
                <w:highlight w:val="none"/>
                <w:lang w:bidi="ar"/>
              </w:rPr>
              <w:t>7.8</w:t>
            </w:r>
          </w:p>
        </w:tc>
        <w:tc>
          <w:tcPr>
            <w:tcW w:w="359" w:type="pct"/>
            <w:gridSpan w:val="2"/>
            <w:vAlign w:val="center"/>
          </w:tcPr>
          <w:p>
            <w:pPr>
              <w:pStyle w:val="44"/>
              <w:rPr>
                <w:kern w:val="0"/>
                <w:szCs w:val="21"/>
                <w:highlight w:val="none"/>
                <w:lang w:bidi="ar"/>
              </w:rPr>
            </w:pPr>
            <w:r>
              <w:rPr>
                <w:rFonts w:hint="eastAsia"/>
                <w:kern w:val="0"/>
                <w:szCs w:val="21"/>
                <w:highlight w:val="none"/>
                <w:lang w:bidi="ar"/>
              </w:rPr>
              <w:t>6.0-9.0</w:t>
            </w:r>
          </w:p>
        </w:tc>
        <w:tc>
          <w:tcPr>
            <w:tcW w:w="381" w:type="pct"/>
            <w:gridSpan w:val="2"/>
            <w:vAlign w:val="center"/>
          </w:tcPr>
          <w:p>
            <w:pPr>
              <w:pStyle w:val="44"/>
              <w:rPr>
                <w:kern w:val="0"/>
                <w:szCs w:val="21"/>
                <w:highlight w:val="none"/>
                <w:lang w:bidi="ar"/>
              </w:rPr>
            </w:pPr>
            <w:r>
              <w:rPr>
                <w:kern w:val="0"/>
                <w:szCs w:val="21"/>
                <w:highlight w:val="none"/>
                <w:lang w:bidi="ar"/>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highlight w:val="none"/>
                <w:lang w:bidi="ar"/>
              </w:rPr>
            </w:pPr>
          </w:p>
        </w:tc>
        <w:tc>
          <w:tcPr>
            <w:tcW w:w="342" w:type="pct"/>
            <w:gridSpan w:val="2"/>
            <w:vMerge w:val="continue"/>
            <w:vAlign w:val="center"/>
          </w:tcPr>
          <w:p>
            <w:pPr>
              <w:pStyle w:val="44"/>
              <w:rPr>
                <w:kern w:val="0"/>
                <w:szCs w:val="21"/>
                <w:highlight w:val="none"/>
                <w:lang w:bidi="ar"/>
              </w:rPr>
            </w:pPr>
          </w:p>
        </w:tc>
        <w:tc>
          <w:tcPr>
            <w:tcW w:w="951" w:type="pct"/>
            <w:gridSpan w:val="2"/>
            <w:vAlign w:val="center"/>
          </w:tcPr>
          <w:p>
            <w:pPr>
              <w:pStyle w:val="44"/>
              <w:rPr>
                <w:kern w:val="0"/>
                <w:szCs w:val="21"/>
                <w:highlight w:val="none"/>
                <w:lang w:bidi="ar"/>
              </w:rPr>
            </w:pPr>
            <w:r>
              <w:rPr>
                <w:kern w:val="0"/>
                <w:szCs w:val="21"/>
                <w:highlight w:val="none"/>
                <w:lang w:bidi="ar"/>
              </w:rPr>
              <w:t>五日生化需氧量</w:t>
            </w:r>
          </w:p>
        </w:tc>
        <w:tc>
          <w:tcPr>
            <w:tcW w:w="501" w:type="pct"/>
            <w:gridSpan w:val="2"/>
            <w:vAlign w:val="center"/>
          </w:tcPr>
          <w:p>
            <w:pPr>
              <w:pStyle w:val="44"/>
              <w:rPr>
                <w:kern w:val="0"/>
                <w:szCs w:val="21"/>
                <w:highlight w:val="none"/>
                <w:lang w:bidi="ar"/>
              </w:rPr>
            </w:pPr>
            <w:r>
              <w:rPr>
                <w:kern w:val="0"/>
                <w:szCs w:val="21"/>
                <w:highlight w:val="none"/>
                <w:lang w:bidi="ar"/>
              </w:rPr>
              <w:t xml:space="preserve">9.0 </w:t>
            </w:r>
          </w:p>
        </w:tc>
        <w:tc>
          <w:tcPr>
            <w:tcW w:w="464" w:type="pct"/>
            <w:gridSpan w:val="2"/>
            <w:vAlign w:val="center"/>
          </w:tcPr>
          <w:p>
            <w:pPr>
              <w:pStyle w:val="44"/>
              <w:rPr>
                <w:kern w:val="0"/>
                <w:szCs w:val="21"/>
                <w:highlight w:val="none"/>
                <w:lang w:bidi="ar"/>
              </w:rPr>
            </w:pPr>
            <w:r>
              <w:rPr>
                <w:kern w:val="0"/>
                <w:szCs w:val="21"/>
                <w:highlight w:val="none"/>
                <w:lang w:bidi="ar"/>
              </w:rPr>
              <w:t xml:space="preserve">9.6 </w:t>
            </w:r>
          </w:p>
        </w:tc>
        <w:tc>
          <w:tcPr>
            <w:tcW w:w="481" w:type="pct"/>
            <w:gridSpan w:val="2"/>
            <w:vAlign w:val="center"/>
          </w:tcPr>
          <w:p>
            <w:pPr>
              <w:pStyle w:val="44"/>
              <w:rPr>
                <w:kern w:val="0"/>
                <w:szCs w:val="21"/>
                <w:highlight w:val="none"/>
                <w:lang w:bidi="ar"/>
              </w:rPr>
            </w:pPr>
            <w:r>
              <w:rPr>
                <w:kern w:val="0"/>
                <w:szCs w:val="21"/>
                <w:highlight w:val="none"/>
                <w:lang w:bidi="ar"/>
              </w:rPr>
              <w:t xml:space="preserve">10.4 </w:t>
            </w:r>
          </w:p>
        </w:tc>
        <w:tc>
          <w:tcPr>
            <w:tcW w:w="445" w:type="pct"/>
            <w:gridSpan w:val="2"/>
            <w:vAlign w:val="center"/>
          </w:tcPr>
          <w:p>
            <w:pPr>
              <w:pStyle w:val="44"/>
              <w:rPr>
                <w:kern w:val="0"/>
                <w:szCs w:val="21"/>
                <w:highlight w:val="none"/>
                <w:lang w:bidi="ar"/>
              </w:rPr>
            </w:pPr>
            <w:r>
              <w:rPr>
                <w:kern w:val="0"/>
                <w:szCs w:val="21"/>
                <w:highlight w:val="none"/>
                <w:lang w:bidi="ar"/>
              </w:rPr>
              <w:t xml:space="preserve">9.9 </w:t>
            </w:r>
          </w:p>
        </w:tc>
        <w:tc>
          <w:tcPr>
            <w:tcW w:w="460" w:type="pct"/>
            <w:gridSpan w:val="2"/>
            <w:vAlign w:val="center"/>
          </w:tcPr>
          <w:p>
            <w:pPr>
              <w:pStyle w:val="44"/>
              <w:rPr>
                <w:kern w:val="0"/>
                <w:szCs w:val="21"/>
                <w:highlight w:val="none"/>
                <w:lang w:bidi="ar"/>
              </w:rPr>
            </w:pPr>
            <w:r>
              <w:rPr>
                <w:rFonts w:hint="eastAsia"/>
                <w:kern w:val="0"/>
                <w:szCs w:val="21"/>
                <w:highlight w:val="none"/>
                <w:lang w:bidi="ar"/>
              </w:rPr>
              <w:t>9.7</w:t>
            </w:r>
          </w:p>
        </w:tc>
        <w:tc>
          <w:tcPr>
            <w:tcW w:w="359" w:type="pct"/>
            <w:gridSpan w:val="2"/>
            <w:vAlign w:val="center"/>
          </w:tcPr>
          <w:p>
            <w:pPr>
              <w:pStyle w:val="44"/>
              <w:rPr>
                <w:kern w:val="0"/>
                <w:szCs w:val="21"/>
                <w:highlight w:val="none"/>
                <w:lang w:bidi="ar"/>
              </w:rPr>
            </w:pPr>
            <w:r>
              <w:rPr>
                <w:rFonts w:hint="eastAsia"/>
                <w:kern w:val="0"/>
                <w:szCs w:val="21"/>
                <w:highlight w:val="none"/>
                <w:lang w:bidi="ar"/>
              </w:rPr>
              <w:t>20</w:t>
            </w:r>
          </w:p>
        </w:tc>
        <w:tc>
          <w:tcPr>
            <w:tcW w:w="381" w:type="pct"/>
            <w:gridSpan w:val="2"/>
            <w:vAlign w:val="center"/>
          </w:tcPr>
          <w:p>
            <w:pPr>
              <w:pStyle w:val="44"/>
              <w:rPr>
                <w:kern w:val="0"/>
                <w:szCs w:val="21"/>
                <w:highlight w:val="none"/>
                <w:lang w:bidi="ar"/>
              </w:rPr>
            </w:pPr>
            <w:r>
              <w:rPr>
                <w:kern w:val="0"/>
                <w:szCs w:val="21"/>
                <w:highlight w:val="none"/>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溶解性总固体</w:t>
            </w:r>
          </w:p>
        </w:tc>
        <w:tc>
          <w:tcPr>
            <w:tcW w:w="501" w:type="pct"/>
            <w:gridSpan w:val="2"/>
            <w:vAlign w:val="center"/>
          </w:tcPr>
          <w:p>
            <w:pPr>
              <w:pStyle w:val="44"/>
              <w:rPr>
                <w:kern w:val="0"/>
                <w:szCs w:val="21"/>
                <w:lang w:bidi="ar"/>
              </w:rPr>
            </w:pPr>
            <w:r>
              <w:rPr>
                <w:kern w:val="0"/>
                <w:szCs w:val="21"/>
                <w:lang w:bidi="ar"/>
              </w:rPr>
              <w:t xml:space="preserve">933 </w:t>
            </w:r>
          </w:p>
        </w:tc>
        <w:tc>
          <w:tcPr>
            <w:tcW w:w="464" w:type="pct"/>
            <w:gridSpan w:val="2"/>
            <w:vAlign w:val="center"/>
          </w:tcPr>
          <w:p>
            <w:pPr>
              <w:pStyle w:val="44"/>
              <w:rPr>
                <w:kern w:val="0"/>
                <w:szCs w:val="21"/>
                <w:lang w:bidi="ar"/>
              </w:rPr>
            </w:pPr>
            <w:r>
              <w:rPr>
                <w:kern w:val="0"/>
                <w:szCs w:val="21"/>
                <w:lang w:bidi="ar"/>
              </w:rPr>
              <w:t xml:space="preserve">956 </w:t>
            </w:r>
          </w:p>
        </w:tc>
        <w:tc>
          <w:tcPr>
            <w:tcW w:w="481" w:type="pct"/>
            <w:gridSpan w:val="2"/>
            <w:vAlign w:val="center"/>
          </w:tcPr>
          <w:p>
            <w:pPr>
              <w:pStyle w:val="44"/>
              <w:rPr>
                <w:kern w:val="0"/>
                <w:szCs w:val="21"/>
                <w:lang w:bidi="ar"/>
              </w:rPr>
            </w:pPr>
            <w:r>
              <w:rPr>
                <w:kern w:val="0"/>
                <w:szCs w:val="21"/>
                <w:lang w:bidi="ar"/>
              </w:rPr>
              <w:t xml:space="preserve">962 </w:t>
            </w:r>
          </w:p>
        </w:tc>
        <w:tc>
          <w:tcPr>
            <w:tcW w:w="445" w:type="pct"/>
            <w:gridSpan w:val="2"/>
            <w:vAlign w:val="center"/>
          </w:tcPr>
          <w:p>
            <w:pPr>
              <w:pStyle w:val="44"/>
              <w:rPr>
                <w:kern w:val="0"/>
                <w:szCs w:val="21"/>
                <w:lang w:bidi="ar"/>
              </w:rPr>
            </w:pPr>
            <w:r>
              <w:rPr>
                <w:kern w:val="0"/>
                <w:szCs w:val="21"/>
                <w:lang w:bidi="ar"/>
              </w:rPr>
              <w:t xml:space="preserve">948 </w:t>
            </w:r>
          </w:p>
        </w:tc>
        <w:tc>
          <w:tcPr>
            <w:tcW w:w="460" w:type="pct"/>
            <w:gridSpan w:val="2"/>
            <w:vAlign w:val="center"/>
          </w:tcPr>
          <w:p>
            <w:pPr>
              <w:pStyle w:val="44"/>
              <w:rPr>
                <w:kern w:val="0"/>
                <w:szCs w:val="21"/>
                <w:lang w:bidi="ar"/>
              </w:rPr>
            </w:pPr>
            <w:r>
              <w:rPr>
                <w:rFonts w:hint="eastAsia"/>
                <w:kern w:val="0"/>
                <w:szCs w:val="21"/>
                <w:lang w:bidi="ar"/>
              </w:rPr>
              <w:t>950</w:t>
            </w:r>
          </w:p>
        </w:tc>
        <w:tc>
          <w:tcPr>
            <w:tcW w:w="359" w:type="pct"/>
            <w:gridSpan w:val="2"/>
            <w:vAlign w:val="center"/>
          </w:tcPr>
          <w:p>
            <w:pPr>
              <w:pStyle w:val="44"/>
              <w:rPr>
                <w:kern w:val="0"/>
                <w:szCs w:val="21"/>
                <w:lang w:bidi="ar"/>
              </w:rPr>
            </w:pPr>
            <w:r>
              <w:rPr>
                <w:rFonts w:hint="eastAsia"/>
                <w:kern w:val="0"/>
                <w:szCs w:val="21"/>
                <w:lang w:bidi="ar"/>
              </w:rPr>
              <w:t>1000</w:t>
            </w:r>
          </w:p>
        </w:tc>
        <w:tc>
          <w:tcPr>
            <w:tcW w:w="381" w:type="pct"/>
            <w:gridSpan w:val="2"/>
            <w:vAlign w:val="center"/>
          </w:tcPr>
          <w:p>
            <w:pPr>
              <w:pStyle w:val="44"/>
              <w:rPr>
                <w:kern w:val="0"/>
                <w:szCs w:val="21"/>
                <w:lang w:bidi="ar"/>
              </w:rPr>
            </w:pPr>
            <w:r>
              <w:rPr>
                <w:kern w:val="0"/>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粪大肠菌群</w:t>
            </w:r>
          </w:p>
        </w:tc>
        <w:tc>
          <w:tcPr>
            <w:tcW w:w="501" w:type="pct"/>
            <w:gridSpan w:val="2"/>
            <w:vAlign w:val="center"/>
          </w:tcPr>
          <w:p>
            <w:pPr>
              <w:pStyle w:val="44"/>
              <w:rPr>
                <w:kern w:val="0"/>
                <w:szCs w:val="21"/>
                <w:lang w:bidi="ar"/>
              </w:rPr>
            </w:pPr>
            <w:r>
              <w:rPr>
                <w:kern w:val="0"/>
                <w:szCs w:val="21"/>
                <w:lang w:bidi="ar"/>
              </w:rPr>
              <w:t>20L</w:t>
            </w:r>
          </w:p>
        </w:tc>
        <w:tc>
          <w:tcPr>
            <w:tcW w:w="464" w:type="pct"/>
            <w:gridSpan w:val="2"/>
            <w:vAlign w:val="center"/>
          </w:tcPr>
          <w:p>
            <w:pPr>
              <w:pStyle w:val="44"/>
              <w:rPr>
                <w:kern w:val="0"/>
                <w:szCs w:val="21"/>
                <w:lang w:bidi="ar"/>
              </w:rPr>
            </w:pPr>
            <w:r>
              <w:rPr>
                <w:kern w:val="0"/>
                <w:szCs w:val="21"/>
                <w:lang w:bidi="ar"/>
              </w:rPr>
              <w:t>20L</w:t>
            </w:r>
          </w:p>
        </w:tc>
        <w:tc>
          <w:tcPr>
            <w:tcW w:w="481" w:type="pct"/>
            <w:gridSpan w:val="2"/>
            <w:vAlign w:val="center"/>
          </w:tcPr>
          <w:p>
            <w:pPr>
              <w:pStyle w:val="44"/>
              <w:rPr>
                <w:kern w:val="0"/>
                <w:szCs w:val="21"/>
                <w:lang w:bidi="ar"/>
              </w:rPr>
            </w:pPr>
            <w:r>
              <w:rPr>
                <w:kern w:val="0"/>
                <w:szCs w:val="21"/>
                <w:lang w:bidi="ar"/>
              </w:rPr>
              <w:t>20L</w:t>
            </w:r>
          </w:p>
        </w:tc>
        <w:tc>
          <w:tcPr>
            <w:tcW w:w="445" w:type="pct"/>
            <w:gridSpan w:val="2"/>
            <w:vAlign w:val="center"/>
          </w:tcPr>
          <w:p>
            <w:pPr>
              <w:pStyle w:val="44"/>
              <w:rPr>
                <w:kern w:val="0"/>
                <w:szCs w:val="21"/>
                <w:lang w:bidi="ar"/>
              </w:rPr>
            </w:pPr>
            <w:r>
              <w:rPr>
                <w:kern w:val="0"/>
                <w:szCs w:val="21"/>
                <w:lang w:bidi="ar"/>
              </w:rPr>
              <w:t>20L</w:t>
            </w:r>
          </w:p>
        </w:tc>
        <w:tc>
          <w:tcPr>
            <w:tcW w:w="460" w:type="pct"/>
            <w:gridSpan w:val="2"/>
            <w:vAlign w:val="center"/>
          </w:tcPr>
          <w:p>
            <w:pPr>
              <w:pStyle w:val="44"/>
              <w:rPr>
                <w:kern w:val="0"/>
                <w:szCs w:val="21"/>
                <w:lang w:bidi="ar"/>
              </w:rPr>
            </w:pPr>
            <w:r>
              <w:rPr>
                <w:kern w:val="0"/>
                <w:szCs w:val="21"/>
                <w:lang w:bidi="ar"/>
              </w:rPr>
              <w:t>20L</w:t>
            </w:r>
          </w:p>
        </w:tc>
        <w:tc>
          <w:tcPr>
            <w:tcW w:w="359" w:type="pct"/>
            <w:gridSpan w:val="2"/>
            <w:vAlign w:val="center"/>
          </w:tcPr>
          <w:p>
            <w:pPr>
              <w:pStyle w:val="44"/>
              <w:rPr>
                <w:kern w:val="0"/>
                <w:szCs w:val="21"/>
                <w:lang w:bidi="ar"/>
              </w:rPr>
            </w:pPr>
            <w:r>
              <w:rPr>
                <w:rFonts w:hint="eastAsia"/>
                <w:kern w:val="0"/>
                <w:szCs w:val="21"/>
                <w:lang w:bidi="ar"/>
              </w:rPr>
              <w:t>200</w:t>
            </w:r>
          </w:p>
        </w:tc>
        <w:tc>
          <w:tcPr>
            <w:tcW w:w="381" w:type="pct"/>
            <w:gridSpan w:val="2"/>
            <w:vAlign w:val="center"/>
          </w:tcPr>
          <w:p>
            <w:pPr>
              <w:pStyle w:val="44"/>
              <w:rPr>
                <w:kern w:val="0"/>
                <w:szCs w:val="21"/>
                <w:lang w:bidi="ar"/>
              </w:rPr>
            </w:pPr>
            <w:r>
              <w:rPr>
                <w:kern w:val="0"/>
                <w:szCs w:val="21"/>
                <w:lang w:bidi="ar"/>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色度</w:t>
            </w:r>
          </w:p>
        </w:tc>
        <w:tc>
          <w:tcPr>
            <w:tcW w:w="501" w:type="pct"/>
            <w:gridSpan w:val="2"/>
            <w:vAlign w:val="center"/>
          </w:tcPr>
          <w:p>
            <w:pPr>
              <w:pStyle w:val="44"/>
              <w:rPr>
                <w:kern w:val="0"/>
                <w:szCs w:val="21"/>
                <w:lang w:bidi="ar"/>
              </w:rPr>
            </w:pPr>
            <w:r>
              <w:rPr>
                <w:kern w:val="0"/>
                <w:szCs w:val="21"/>
                <w:lang w:bidi="ar"/>
              </w:rPr>
              <w:t xml:space="preserve">5 </w:t>
            </w:r>
          </w:p>
        </w:tc>
        <w:tc>
          <w:tcPr>
            <w:tcW w:w="464" w:type="pct"/>
            <w:gridSpan w:val="2"/>
            <w:vAlign w:val="center"/>
          </w:tcPr>
          <w:p>
            <w:pPr>
              <w:pStyle w:val="44"/>
              <w:rPr>
                <w:kern w:val="0"/>
                <w:szCs w:val="21"/>
                <w:lang w:bidi="ar"/>
              </w:rPr>
            </w:pPr>
            <w:r>
              <w:rPr>
                <w:kern w:val="0"/>
                <w:szCs w:val="21"/>
                <w:lang w:bidi="ar"/>
              </w:rPr>
              <w:t>6</w:t>
            </w:r>
          </w:p>
        </w:tc>
        <w:tc>
          <w:tcPr>
            <w:tcW w:w="481" w:type="pct"/>
            <w:gridSpan w:val="2"/>
            <w:vAlign w:val="center"/>
          </w:tcPr>
          <w:p>
            <w:pPr>
              <w:pStyle w:val="44"/>
              <w:rPr>
                <w:kern w:val="0"/>
                <w:szCs w:val="21"/>
                <w:lang w:bidi="ar"/>
              </w:rPr>
            </w:pPr>
            <w:r>
              <w:rPr>
                <w:kern w:val="0"/>
                <w:szCs w:val="21"/>
                <w:lang w:bidi="ar"/>
              </w:rPr>
              <w:t>6</w:t>
            </w:r>
          </w:p>
        </w:tc>
        <w:tc>
          <w:tcPr>
            <w:tcW w:w="445" w:type="pct"/>
            <w:gridSpan w:val="2"/>
            <w:vAlign w:val="center"/>
          </w:tcPr>
          <w:p>
            <w:pPr>
              <w:pStyle w:val="44"/>
              <w:rPr>
                <w:kern w:val="0"/>
                <w:szCs w:val="21"/>
                <w:lang w:bidi="ar"/>
              </w:rPr>
            </w:pPr>
            <w:r>
              <w:rPr>
                <w:kern w:val="0"/>
                <w:szCs w:val="21"/>
                <w:lang w:bidi="ar"/>
              </w:rPr>
              <w:t>5</w:t>
            </w:r>
          </w:p>
        </w:tc>
        <w:tc>
          <w:tcPr>
            <w:tcW w:w="460" w:type="pct"/>
            <w:gridSpan w:val="2"/>
            <w:vAlign w:val="center"/>
          </w:tcPr>
          <w:p>
            <w:pPr>
              <w:pStyle w:val="44"/>
              <w:rPr>
                <w:kern w:val="0"/>
                <w:szCs w:val="21"/>
                <w:lang w:bidi="ar"/>
              </w:rPr>
            </w:pPr>
            <w:r>
              <w:rPr>
                <w:kern w:val="0"/>
                <w:szCs w:val="21"/>
                <w:lang w:bidi="ar"/>
              </w:rPr>
              <w:t xml:space="preserve">6 </w:t>
            </w:r>
          </w:p>
        </w:tc>
        <w:tc>
          <w:tcPr>
            <w:tcW w:w="359" w:type="pct"/>
            <w:gridSpan w:val="2"/>
            <w:vAlign w:val="center"/>
          </w:tcPr>
          <w:p>
            <w:pPr>
              <w:pStyle w:val="44"/>
              <w:rPr>
                <w:kern w:val="0"/>
                <w:szCs w:val="21"/>
                <w:lang w:bidi="ar"/>
              </w:rPr>
            </w:pPr>
            <w:r>
              <w:rPr>
                <w:rFonts w:hint="eastAsia"/>
                <w:kern w:val="0"/>
                <w:szCs w:val="21"/>
                <w:lang w:bidi="ar"/>
              </w:rPr>
              <w:t>30</w:t>
            </w:r>
          </w:p>
        </w:tc>
        <w:tc>
          <w:tcPr>
            <w:tcW w:w="381" w:type="pct"/>
            <w:gridSpan w:val="2"/>
            <w:vAlign w:val="center"/>
          </w:tcPr>
          <w:p>
            <w:pPr>
              <w:pStyle w:val="44"/>
              <w:rPr>
                <w:kern w:val="0"/>
                <w:szCs w:val="21"/>
                <w:lang w:bidi="ar"/>
              </w:rPr>
            </w:pPr>
            <w:r>
              <w:rPr>
                <w:kern w:val="0"/>
                <w:szCs w:val="21"/>
                <w:lang w:bidi="ar"/>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26"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阴离子表面活性剂</w:t>
            </w:r>
          </w:p>
        </w:tc>
        <w:tc>
          <w:tcPr>
            <w:tcW w:w="501" w:type="pct"/>
            <w:gridSpan w:val="2"/>
            <w:vAlign w:val="center"/>
          </w:tcPr>
          <w:p>
            <w:pPr>
              <w:pStyle w:val="44"/>
              <w:rPr>
                <w:kern w:val="0"/>
                <w:szCs w:val="21"/>
                <w:lang w:bidi="ar"/>
              </w:rPr>
            </w:pPr>
            <w:r>
              <w:rPr>
                <w:kern w:val="0"/>
                <w:szCs w:val="21"/>
                <w:lang w:bidi="ar"/>
              </w:rPr>
              <w:t xml:space="preserve">0.06 </w:t>
            </w:r>
          </w:p>
        </w:tc>
        <w:tc>
          <w:tcPr>
            <w:tcW w:w="464" w:type="pct"/>
            <w:gridSpan w:val="2"/>
            <w:vAlign w:val="center"/>
          </w:tcPr>
          <w:p>
            <w:pPr>
              <w:pStyle w:val="44"/>
              <w:rPr>
                <w:kern w:val="0"/>
                <w:szCs w:val="21"/>
                <w:lang w:bidi="ar"/>
              </w:rPr>
            </w:pPr>
            <w:r>
              <w:rPr>
                <w:kern w:val="0"/>
                <w:szCs w:val="21"/>
                <w:lang w:bidi="ar"/>
              </w:rPr>
              <w:t xml:space="preserve">0.07 </w:t>
            </w:r>
          </w:p>
        </w:tc>
        <w:tc>
          <w:tcPr>
            <w:tcW w:w="481" w:type="pct"/>
            <w:gridSpan w:val="2"/>
            <w:vAlign w:val="center"/>
          </w:tcPr>
          <w:p>
            <w:pPr>
              <w:pStyle w:val="44"/>
              <w:rPr>
                <w:kern w:val="0"/>
                <w:szCs w:val="21"/>
                <w:lang w:bidi="ar"/>
              </w:rPr>
            </w:pPr>
            <w:r>
              <w:rPr>
                <w:kern w:val="0"/>
                <w:szCs w:val="21"/>
                <w:lang w:bidi="ar"/>
              </w:rPr>
              <w:t xml:space="preserve">0.07 </w:t>
            </w:r>
          </w:p>
        </w:tc>
        <w:tc>
          <w:tcPr>
            <w:tcW w:w="445" w:type="pct"/>
            <w:gridSpan w:val="2"/>
            <w:vAlign w:val="center"/>
          </w:tcPr>
          <w:p>
            <w:pPr>
              <w:pStyle w:val="44"/>
              <w:rPr>
                <w:kern w:val="0"/>
                <w:szCs w:val="21"/>
                <w:lang w:bidi="ar"/>
              </w:rPr>
            </w:pPr>
            <w:r>
              <w:rPr>
                <w:kern w:val="0"/>
                <w:szCs w:val="21"/>
                <w:lang w:bidi="ar"/>
              </w:rPr>
              <w:t xml:space="preserve">0.08 </w:t>
            </w:r>
          </w:p>
        </w:tc>
        <w:tc>
          <w:tcPr>
            <w:tcW w:w="460" w:type="pct"/>
            <w:gridSpan w:val="2"/>
            <w:vAlign w:val="center"/>
          </w:tcPr>
          <w:p>
            <w:pPr>
              <w:pStyle w:val="44"/>
              <w:rPr>
                <w:kern w:val="0"/>
                <w:szCs w:val="21"/>
                <w:lang w:bidi="ar"/>
              </w:rPr>
            </w:pPr>
            <w:r>
              <w:rPr>
                <w:kern w:val="0"/>
                <w:szCs w:val="21"/>
                <w:lang w:bidi="ar"/>
              </w:rPr>
              <w:t xml:space="preserve">0.07 </w:t>
            </w:r>
          </w:p>
        </w:tc>
        <w:tc>
          <w:tcPr>
            <w:tcW w:w="359" w:type="pct"/>
            <w:gridSpan w:val="2"/>
            <w:vAlign w:val="center"/>
          </w:tcPr>
          <w:p>
            <w:pPr>
              <w:pStyle w:val="44"/>
              <w:rPr>
                <w:kern w:val="0"/>
                <w:szCs w:val="21"/>
                <w:lang w:bidi="ar"/>
              </w:rPr>
            </w:pPr>
            <w:r>
              <w:rPr>
                <w:rFonts w:hint="eastAsia"/>
                <w:kern w:val="0"/>
                <w:szCs w:val="21"/>
                <w:lang w:bidi="ar"/>
              </w:rPr>
              <w:t>1.0</w:t>
            </w:r>
          </w:p>
        </w:tc>
        <w:tc>
          <w:tcPr>
            <w:tcW w:w="381" w:type="pct"/>
            <w:gridSpan w:val="2"/>
            <w:vAlign w:val="center"/>
          </w:tcPr>
          <w:p>
            <w:pPr>
              <w:pStyle w:val="44"/>
              <w:rPr>
                <w:kern w:val="0"/>
                <w:szCs w:val="21"/>
                <w:lang w:bidi="ar"/>
              </w:rPr>
            </w:pPr>
            <w:r>
              <w:rPr>
                <w:kern w:val="0"/>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373" w:hRule="atLeast"/>
          <w:jc w:val="center"/>
        </w:trPr>
        <w:tc>
          <w:tcPr>
            <w:tcW w:w="382" w:type="pct"/>
            <w:gridSpan w:val="2"/>
            <w:vMerge w:val="restart"/>
            <w:vAlign w:val="center"/>
          </w:tcPr>
          <w:p>
            <w:pPr>
              <w:pStyle w:val="44"/>
              <w:rPr>
                <w:kern w:val="0"/>
                <w:szCs w:val="21"/>
                <w:lang w:bidi="ar"/>
              </w:rPr>
            </w:pPr>
            <w:r>
              <w:rPr>
                <w:kern w:val="0"/>
                <w:szCs w:val="21"/>
                <w:lang w:bidi="ar"/>
              </w:rPr>
              <w:t>采样</w:t>
            </w:r>
          </w:p>
          <w:p>
            <w:pPr>
              <w:pStyle w:val="44"/>
              <w:rPr>
                <w:kern w:val="0"/>
                <w:szCs w:val="21"/>
                <w:lang w:bidi="ar"/>
              </w:rPr>
            </w:pPr>
            <w:r>
              <w:rPr>
                <w:kern w:val="0"/>
                <w:szCs w:val="21"/>
                <w:lang w:bidi="ar"/>
              </w:rPr>
              <w:t>日期</w:t>
            </w:r>
          </w:p>
        </w:tc>
        <w:tc>
          <w:tcPr>
            <w:tcW w:w="342" w:type="pct"/>
            <w:gridSpan w:val="2"/>
            <w:vMerge w:val="restart"/>
            <w:vAlign w:val="center"/>
          </w:tcPr>
          <w:p>
            <w:pPr>
              <w:pStyle w:val="44"/>
              <w:rPr>
                <w:kern w:val="0"/>
                <w:szCs w:val="21"/>
                <w:lang w:bidi="ar"/>
              </w:rPr>
            </w:pPr>
            <w:r>
              <w:rPr>
                <w:kern w:val="0"/>
                <w:szCs w:val="21"/>
                <w:lang w:bidi="ar"/>
              </w:rPr>
              <w:t>检测点位</w:t>
            </w:r>
          </w:p>
        </w:tc>
        <w:tc>
          <w:tcPr>
            <w:tcW w:w="951" w:type="pct"/>
            <w:gridSpan w:val="2"/>
            <w:vMerge w:val="restart"/>
            <w:vAlign w:val="center"/>
          </w:tcPr>
          <w:p>
            <w:pPr>
              <w:pStyle w:val="44"/>
              <w:rPr>
                <w:kern w:val="0"/>
                <w:szCs w:val="21"/>
                <w:lang w:bidi="ar"/>
              </w:rPr>
            </w:pPr>
            <w:r>
              <w:rPr>
                <w:kern w:val="0"/>
                <w:szCs w:val="21"/>
                <w:lang w:bidi="ar"/>
              </w:rPr>
              <w:t>检测项目</w:t>
            </w:r>
          </w:p>
        </w:tc>
        <w:tc>
          <w:tcPr>
            <w:tcW w:w="2353" w:type="pct"/>
            <w:gridSpan w:val="10"/>
            <w:vAlign w:val="center"/>
          </w:tcPr>
          <w:p>
            <w:pPr>
              <w:pStyle w:val="44"/>
              <w:rPr>
                <w:kern w:val="0"/>
                <w:szCs w:val="21"/>
                <w:lang w:bidi="ar"/>
              </w:rPr>
            </w:pPr>
            <w:r>
              <w:rPr>
                <w:kern w:val="0"/>
                <w:szCs w:val="21"/>
                <w:lang w:bidi="ar"/>
              </w:rPr>
              <w:t>检测结果</w:t>
            </w:r>
          </w:p>
        </w:tc>
        <w:tc>
          <w:tcPr>
            <w:tcW w:w="359" w:type="pct"/>
            <w:gridSpan w:val="2"/>
            <w:vMerge w:val="restart"/>
            <w:vAlign w:val="center"/>
          </w:tcPr>
          <w:p>
            <w:pPr>
              <w:pStyle w:val="74"/>
              <w:jc w:val="center"/>
              <w:rPr>
                <w:rFonts w:ascii="Times New Roman" w:hAnsi="Times New Roman"/>
                <w:szCs w:val="21"/>
              </w:rPr>
            </w:pPr>
            <w:r>
              <w:rPr>
                <w:rFonts w:ascii="Times New Roman" w:hAnsi="Times New Roman"/>
                <w:szCs w:val="21"/>
              </w:rPr>
              <w:t>标准</w:t>
            </w:r>
          </w:p>
          <w:p>
            <w:pPr>
              <w:pStyle w:val="74"/>
              <w:jc w:val="center"/>
              <w:rPr>
                <w:rFonts w:ascii="Times New Roman" w:hAnsi="Times New Roman"/>
                <w:szCs w:val="21"/>
              </w:rPr>
            </w:pPr>
            <w:r>
              <w:rPr>
                <w:rFonts w:ascii="Times New Roman" w:hAnsi="Times New Roman"/>
                <w:szCs w:val="21"/>
              </w:rPr>
              <w:t>限值</w:t>
            </w:r>
          </w:p>
        </w:tc>
        <w:tc>
          <w:tcPr>
            <w:tcW w:w="381" w:type="pct"/>
            <w:gridSpan w:val="2"/>
            <w:vMerge w:val="restart"/>
            <w:vAlign w:val="center"/>
          </w:tcPr>
          <w:p>
            <w:pPr>
              <w:pStyle w:val="74"/>
              <w:jc w:val="center"/>
              <w:rPr>
                <w:rFonts w:ascii="Times New Roman" w:hAnsi="Times New Roman"/>
                <w:szCs w:val="21"/>
              </w:rPr>
            </w:pPr>
            <w:r>
              <w:rPr>
                <w:rFonts w:ascii="Times New Roman" w:hAnsi="Times New Roman"/>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61"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Merge w:val="continue"/>
            <w:vAlign w:val="center"/>
          </w:tcPr>
          <w:p>
            <w:pPr>
              <w:pStyle w:val="44"/>
              <w:rPr>
                <w:kern w:val="0"/>
                <w:szCs w:val="21"/>
                <w:lang w:bidi="ar"/>
              </w:rPr>
            </w:pPr>
          </w:p>
        </w:tc>
        <w:tc>
          <w:tcPr>
            <w:tcW w:w="501" w:type="pct"/>
            <w:gridSpan w:val="2"/>
            <w:vAlign w:val="center"/>
          </w:tcPr>
          <w:p>
            <w:pPr>
              <w:pStyle w:val="44"/>
              <w:rPr>
                <w:kern w:val="0"/>
                <w:szCs w:val="21"/>
                <w:lang w:bidi="ar"/>
              </w:rPr>
            </w:pPr>
            <w:r>
              <w:rPr>
                <w:kern w:val="0"/>
                <w:szCs w:val="21"/>
                <w:lang w:bidi="ar"/>
              </w:rPr>
              <w:t>第一次</w:t>
            </w:r>
          </w:p>
        </w:tc>
        <w:tc>
          <w:tcPr>
            <w:tcW w:w="463" w:type="pct"/>
            <w:gridSpan w:val="2"/>
            <w:vAlign w:val="center"/>
          </w:tcPr>
          <w:p>
            <w:pPr>
              <w:pStyle w:val="44"/>
              <w:rPr>
                <w:kern w:val="0"/>
                <w:szCs w:val="21"/>
                <w:lang w:bidi="ar"/>
              </w:rPr>
            </w:pPr>
            <w:r>
              <w:rPr>
                <w:kern w:val="0"/>
                <w:szCs w:val="21"/>
                <w:lang w:bidi="ar"/>
              </w:rPr>
              <w:t>第二次</w:t>
            </w:r>
          </w:p>
        </w:tc>
        <w:tc>
          <w:tcPr>
            <w:tcW w:w="481" w:type="pct"/>
            <w:gridSpan w:val="2"/>
            <w:vAlign w:val="center"/>
          </w:tcPr>
          <w:p>
            <w:pPr>
              <w:pStyle w:val="44"/>
              <w:rPr>
                <w:kern w:val="0"/>
                <w:szCs w:val="21"/>
                <w:lang w:bidi="ar"/>
              </w:rPr>
            </w:pPr>
            <w:r>
              <w:rPr>
                <w:kern w:val="0"/>
                <w:szCs w:val="21"/>
                <w:lang w:bidi="ar"/>
              </w:rPr>
              <w:t>第三次</w:t>
            </w:r>
          </w:p>
        </w:tc>
        <w:tc>
          <w:tcPr>
            <w:tcW w:w="445" w:type="pct"/>
            <w:gridSpan w:val="2"/>
            <w:vAlign w:val="center"/>
          </w:tcPr>
          <w:p>
            <w:pPr>
              <w:pStyle w:val="44"/>
              <w:rPr>
                <w:kern w:val="0"/>
                <w:szCs w:val="21"/>
                <w:lang w:bidi="ar"/>
              </w:rPr>
            </w:pPr>
            <w:r>
              <w:rPr>
                <w:kern w:val="0"/>
                <w:szCs w:val="21"/>
                <w:lang w:bidi="ar"/>
              </w:rPr>
              <w:t>第四次</w:t>
            </w:r>
          </w:p>
        </w:tc>
        <w:tc>
          <w:tcPr>
            <w:tcW w:w="460" w:type="pct"/>
            <w:gridSpan w:val="2"/>
            <w:vAlign w:val="center"/>
          </w:tcPr>
          <w:p>
            <w:pPr>
              <w:pStyle w:val="44"/>
              <w:rPr>
                <w:kern w:val="0"/>
                <w:szCs w:val="21"/>
                <w:lang w:bidi="ar"/>
              </w:rPr>
            </w:pPr>
            <w:r>
              <w:rPr>
                <w:kern w:val="0"/>
                <w:szCs w:val="21"/>
                <w:lang w:bidi="ar"/>
              </w:rPr>
              <w:t>日均值</w:t>
            </w:r>
          </w:p>
        </w:tc>
        <w:tc>
          <w:tcPr>
            <w:tcW w:w="359" w:type="pct"/>
            <w:gridSpan w:val="2"/>
            <w:vMerge w:val="continue"/>
            <w:vAlign w:val="center"/>
          </w:tcPr>
          <w:p>
            <w:pPr>
              <w:pStyle w:val="74"/>
              <w:jc w:val="center"/>
              <w:rPr>
                <w:rFonts w:ascii="Times New Roman" w:hAnsi="Times New Roman"/>
                <w:szCs w:val="21"/>
              </w:rPr>
            </w:pPr>
          </w:p>
        </w:tc>
        <w:tc>
          <w:tcPr>
            <w:tcW w:w="381" w:type="pct"/>
            <w:gridSpan w:val="2"/>
            <w:vMerge w:val="continue"/>
            <w:vAlign w:val="center"/>
          </w:tcPr>
          <w:p>
            <w:pPr>
              <w:pStyle w:val="74"/>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restart"/>
            <w:vAlign w:val="center"/>
          </w:tcPr>
          <w:p>
            <w:pPr>
              <w:pStyle w:val="44"/>
              <w:rPr>
                <w:kern w:val="0"/>
                <w:szCs w:val="21"/>
                <w:lang w:bidi="ar"/>
              </w:rPr>
            </w:pPr>
            <w:r>
              <w:rPr>
                <w:kern w:val="0"/>
                <w:szCs w:val="21"/>
                <w:lang w:bidi="ar"/>
              </w:rPr>
              <w:t>2024-02-2</w:t>
            </w:r>
            <w:r>
              <w:rPr>
                <w:rFonts w:hint="eastAsia"/>
                <w:kern w:val="0"/>
                <w:szCs w:val="21"/>
                <w:lang w:bidi="ar"/>
              </w:rPr>
              <w:t>9</w:t>
            </w:r>
          </w:p>
        </w:tc>
        <w:tc>
          <w:tcPr>
            <w:tcW w:w="342" w:type="pct"/>
            <w:gridSpan w:val="2"/>
            <w:vMerge w:val="restart"/>
            <w:vAlign w:val="center"/>
          </w:tcPr>
          <w:p>
            <w:pPr>
              <w:pStyle w:val="44"/>
              <w:rPr>
                <w:kern w:val="0"/>
                <w:szCs w:val="21"/>
                <w:lang w:bidi="ar"/>
              </w:rPr>
            </w:pPr>
            <w:r>
              <w:rPr>
                <w:kern w:val="0"/>
                <w:szCs w:val="21"/>
                <w:lang w:bidi="ar"/>
              </w:rPr>
              <w:t>污水处理站进口</w:t>
            </w:r>
          </w:p>
        </w:tc>
        <w:tc>
          <w:tcPr>
            <w:tcW w:w="951" w:type="pct"/>
            <w:gridSpan w:val="2"/>
            <w:vAlign w:val="center"/>
          </w:tcPr>
          <w:p>
            <w:pPr>
              <w:pStyle w:val="44"/>
              <w:rPr>
                <w:kern w:val="0"/>
                <w:szCs w:val="21"/>
                <w:lang w:bidi="ar"/>
              </w:rPr>
            </w:pPr>
            <w:r>
              <w:rPr>
                <w:kern w:val="0"/>
                <w:szCs w:val="21"/>
                <w:lang w:bidi="ar"/>
              </w:rPr>
              <w:t>pH 值(无量纲)</w:t>
            </w:r>
          </w:p>
        </w:tc>
        <w:tc>
          <w:tcPr>
            <w:tcW w:w="501" w:type="pct"/>
            <w:gridSpan w:val="2"/>
            <w:vAlign w:val="center"/>
          </w:tcPr>
          <w:p>
            <w:pPr>
              <w:pStyle w:val="44"/>
              <w:rPr>
                <w:kern w:val="0"/>
                <w:szCs w:val="21"/>
                <w:lang w:bidi="ar"/>
              </w:rPr>
            </w:pPr>
            <w:r>
              <w:rPr>
                <w:kern w:val="0"/>
                <w:szCs w:val="21"/>
                <w:lang w:bidi="ar"/>
              </w:rPr>
              <w:t>7.</w:t>
            </w:r>
            <w:r>
              <w:rPr>
                <w:rFonts w:hint="eastAsia"/>
                <w:kern w:val="0"/>
                <w:szCs w:val="21"/>
                <w:lang w:bidi="ar"/>
              </w:rPr>
              <w:t>8</w:t>
            </w:r>
          </w:p>
        </w:tc>
        <w:tc>
          <w:tcPr>
            <w:tcW w:w="463" w:type="pct"/>
            <w:gridSpan w:val="2"/>
            <w:vAlign w:val="center"/>
          </w:tcPr>
          <w:p>
            <w:pPr>
              <w:pStyle w:val="44"/>
              <w:rPr>
                <w:kern w:val="0"/>
                <w:szCs w:val="21"/>
                <w:lang w:bidi="ar"/>
              </w:rPr>
            </w:pPr>
            <w:r>
              <w:rPr>
                <w:kern w:val="0"/>
                <w:szCs w:val="21"/>
                <w:lang w:bidi="ar"/>
              </w:rPr>
              <w:t>7.</w:t>
            </w:r>
            <w:r>
              <w:rPr>
                <w:rFonts w:hint="eastAsia"/>
                <w:kern w:val="0"/>
                <w:szCs w:val="21"/>
                <w:lang w:bidi="ar"/>
              </w:rPr>
              <w:t>8</w:t>
            </w:r>
          </w:p>
        </w:tc>
        <w:tc>
          <w:tcPr>
            <w:tcW w:w="481" w:type="pct"/>
            <w:gridSpan w:val="2"/>
            <w:vAlign w:val="center"/>
          </w:tcPr>
          <w:p>
            <w:pPr>
              <w:pStyle w:val="44"/>
              <w:rPr>
                <w:kern w:val="0"/>
                <w:szCs w:val="21"/>
                <w:lang w:bidi="ar"/>
              </w:rPr>
            </w:pPr>
            <w:r>
              <w:rPr>
                <w:kern w:val="0"/>
                <w:szCs w:val="21"/>
                <w:lang w:bidi="ar"/>
              </w:rPr>
              <w:t>7.9</w:t>
            </w:r>
          </w:p>
        </w:tc>
        <w:tc>
          <w:tcPr>
            <w:tcW w:w="445" w:type="pct"/>
            <w:gridSpan w:val="2"/>
            <w:vAlign w:val="center"/>
          </w:tcPr>
          <w:p>
            <w:pPr>
              <w:pStyle w:val="44"/>
              <w:rPr>
                <w:kern w:val="0"/>
                <w:szCs w:val="21"/>
                <w:lang w:bidi="ar"/>
              </w:rPr>
            </w:pPr>
            <w:r>
              <w:rPr>
                <w:kern w:val="0"/>
                <w:szCs w:val="21"/>
                <w:lang w:bidi="ar"/>
              </w:rPr>
              <w:t>7.9</w:t>
            </w:r>
          </w:p>
        </w:tc>
        <w:tc>
          <w:tcPr>
            <w:tcW w:w="460" w:type="pct"/>
            <w:gridSpan w:val="2"/>
            <w:vAlign w:val="center"/>
          </w:tcPr>
          <w:p>
            <w:pPr>
              <w:pStyle w:val="44"/>
              <w:rPr>
                <w:kern w:val="0"/>
                <w:szCs w:val="21"/>
                <w:lang w:bidi="ar"/>
              </w:rPr>
            </w:pPr>
            <w:r>
              <w:rPr>
                <w:rFonts w:hint="eastAsia"/>
                <w:kern w:val="0"/>
                <w:szCs w:val="21"/>
                <w:lang w:bidi="ar"/>
              </w:rPr>
              <w:t>7.7</w:t>
            </w:r>
          </w:p>
        </w:tc>
        <w:tc>
          <w:tcPr>
            <w:tcW w:w="359" w:type="pct"/>
            <w:gridSpan w:val="2"/>
            <w:vAlign w:val="center"/>
          </w:tcPr>
          <w:p>
            <w:pPr>
              <w:pStyle w:val="74"/>
              <w:jc w:val="center"/>
              <w:rPr>
                <w:rFonts w:ascii="Times New Roman" w:hAnsi="Times New Roman"/>
                <w:szCs w:val="21"/>
              </w:rPr>
            </w:pPr>
            <w:r>
              <w:rPr>
                <w:rFonts w:ascii="Times New Roman" w:hAnsi="Times New Roman"/>
                <w:szCs w:val="21"/>
              </w:rPr>
              <w:t>/</w:t>
            </w:r>
          </w:p>
        </w:tc>
        <w:tc>
          <w:tcPr>
            <w:tcW w:w="381" w:type="pct"/>
            <w:gridSpan w:val="2"/>
            <w:vAlign w:val="center"/>
          </w:tcPr>
          <w:p>
            <w:pPr>
              <w:pStyle w:val="74"/>
              <w:jc w:val="center"/>
              <w:rPr>
                <w:rFonts w:ascii="Times New Roman" w:hAnsi="Times New Roman"/>
                <w:szCs w:val="21"/>
              </w:rPr>
            </w:pPr>
            <w:r>
              <w:rPr>
                <w:rFonts w:ascii="Times New Roman" w:hAnsi="Times New Roman"/>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五日生化需氧量</w:t>
            </w:r>
          </w:p>
        </w:tc>
        <w:tc>
          <w:tcPr>
            <w:tcW w:w="501" w:type="pct"/>
            <w:gridSpan w:val="2"/>
            <w:vAlign w:val="center"/>
          </w:tcPr>
          <w:p>
            <w:pPr>
              <w:pStyle w:val="44"/>
              <w:rPr>
                <w:kern w:val="0"/>
                <w:szCs w:val="21"/>
                <w:lang w:bidi="ar"/>
              </w:rPr>
            </w:pPr>
            <w:r>
              <w:rPr>
                <w:kern w:val="0"/>
                <w:szCs w:val="21"/>
                <w:lang w:bidi="ar"/>
              </w:rPr>
              <w:t>11</w:t>
            </w:r>
            <w:r>
              <w:rPr>
                <w:rFonts w:hint="eastAsia"/>
                <w:kern w:val="0"/>
                <w:szCs w:val="21"/>
                <w:lang w:bidi="ar"/>
              </w:rPr>
              <w:t>7</w:t>
            </w:r>
          </w:p>
        </w:tc>
        <w:tc>
          <w:tcPr>
            <w:tcW w:w="463" w:type="pct"/>
            <w:gridSpan w:val="2"/>
            <w:vAlign w:val="center"/>
          </w:tcPr>
          <w:p>
            <w:pPr>
              <w:pStyle w:val="44"/>
              <w:rPr>
                <w:kern w:val="0"/>
                <w:szCs w:val="21"/>
                <w:lang w:bidi="ar"/>
              </w:rPr>
            </w:pPr>
            <w:r>
              <w:rPr>
                <w:rFonts w:hint="eastAsia"/>
                <w:kern w:val="0"/>
                <w:szCs w:val="21"/>
                <w:lang w:bidi="ar"/>
              </w:rPr>
              <w:t>109</w:t>
            </w:r>
          </w:p>
        </w:tc>
        <w:tc>
          <w:tcPr>
            <w:tcW w:w="481" w:type="pct"/>
            <w:gridSpan w:val="2"/>
            <w:vAlign w:val="center"/>
          </w:tcPr>
          <w:p>
            <w:pPr>
              <w:pStyle w:val="44"/>
              <w:rPr>
                <w:kern w:val="0"/>
                <w:szCs w:val="21"/>
                <w:lang w:bidi="ar"/>
              </w:rPr>
            </w:pPr>
            <w:r>
              <w:rPr>
                <w:rFonts w:hint="eastAsia"/>
                <w:kern w:val="0"/>
                <w:szCs w:val="21"/>
                <w:lang w:bidi="ar"/>
              </w:rPr>
              <w:t>121</w:t>
            </w:r>
          </w:p>
        </w:tc>
        <w:tc>
          <w:tcPr>
            <w:tcW w:w="445" w:type="pct"/>
            <w:gridSpan w:val="2"/>
            <w:vAlign w:val="center"/>
          </w:tcPr>
          <w:p>
            <w:pPr>
              <w:pStyle w:val="44"/>
              <w:rPr>
                <w:kern w:val="0"/>
                <w:szCs w:val="21"/>
                <w:lang w:bidi="ar"/>
              </w:rPr>
            </w:pPr>
            <w:r>
              <w:rPr>
                <w:rFonts w:hint="eastAsia"/>
                <w:kern w:val="0"/>
                <w:szCs w:val="21"/>
                <w:lang w:bidi="ar"/>
              </w:rPr>
              <w:t>113</w:t>
            </w:r>
          </w:p>
        </w:tc>
        <w:tc>
          <w:tcPr>
            <w:tcW w:w="460" w:type="pct"/>
            <w:gridSpan w:val="2"/>
            <w:vAlign w:val="center"/>
          </w:tcPr>
          <w:p>
            <w:pPr>
              <w:pStyle w:val="44"/>
              <w:rPr>
                <w:kern w:val="0"/>
                <w:szCs w:val="21"/>
                <w:lang w:bidi="ar"/>
              </w:rPr>
            </w:pPr>
            <w:r>
              <w:rPr>
                <w:rFonts w:hint="eastAsia"/>
                <w:kern w:val="0"/>
                <w:szCs w:val="21"/>
                <w:lang w:bidi="ar"/>
              </w:rPr>
              <w:t>115</w:t>
            </w:r>
          </w:p>
        </w:tc>
        <w:tc>
          <w:tcPr>
            <w:tcW w:w="359" w:type="pct"/>
            <w:gridSpan w:val="2"/>
            <w:vAlign w:val="center"/>
          </w:tcPr>
          <w:p>
            <w:pPr>
              <w:spacing w:line="240" w:lineRule="auto"/>
              <w:ind w:firstLine="0" w:firstLineChars="0"/>
              <w:jc w:val="center"/>
              <w:rPr>
                <w:sz w:val="21"/>
                <w:szCs w:val="21"/>
              </w:rPr>
            </w:pPr>
            <w:r>
              <w:rPr>
                <w:sz w:val="21"/>
                <w:szCs w:val="21"/>
              </w:rPr>
              <w:t>/</w:t>
            </w:r>
          </w:p>
        </w:tc>
        <w:tc>
          <w:tcPr>
            <w:tcW w:w="381" w:type="pct"/>
            <w:gridSpan w:val="2"/>
            <w:vAlign w:val="center"/>
          </w:tcPr>
          <w:p>
            <w:pPr>
              <w:pStyle w:val="74"/>
              <w:jc w:val="center"/>
              <w:rPr>
                <w:rFonts w:ascii="Times New Roman" w:hAnsi="Times New Roman"/>
                <w:szCs w:val="21"/>
              </w:rPr>
            </w:pP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溶解性总固体</w:t>
            </w:r>
          </w:p>
        </w:tc>
        <w:tc>
          <w:tcPr>
            <w:tcW w:w="501" w:type="pct"/>
            <w:gridSpan w:val="2"/>
            <w:vAlign w:val="center"/>
          </w:tcPr>
          <w:p>
            <w:pPr>
              <w:pStyle w:val="44"/>
              <w:rPr>
                <w:kern w:val="0"/>
                <w:szCs w:val="21"/>
                <w:lang w:bidi="ar"/>
              </w:rPr>
            </w:pPr>
            <w:r>
              <w:rPr>
                <w:rFonts w:hint="eastAsia"/>
                <w:kern w:val="0"/>
                <w:szCs w:val="21"/>
                <w:lang w:bidi="ar"/>
              </w:rPr>
              <w:t>1081</w:t>
            </w:r>
          </w:p>
        </w:tc>
        <w:tc>
          <w:tcPr>
            <w:tcW w:w="463" w:type="pct"/>
            <w:gridSpan w:val="2"/>
            <w:vAlign w:val="center"/>
          </w:tcPr>
          <w:p>
            <w:pPr>
              <w:pStyle w:val="44"/>
              <w:rPr>
                <w:kern w:val="0"/>
                <w:szCs w:val="21"/>
                <w:lang w:bidi="ar"/>
              </w:rPr>
            </w:pPr>
            <w:r>
              <w:rPr>
                <w:rFonts w:hint="eastAsia"/>
                <w:kern w:val="0"/>
                <w:szCs w:val="21"/>
                <w:lang w:bidi="ar"/>
              </w:rPr>
              <w:t>1053</w:t>
            </w:r>
          </w:p>
        </w:tc>
        <w:tc>
          <w:tcPr>
            <w:tcW w:w="481" w:type="pct"/>
            <w:gridSpan w:val="2"/>
            <w:vAlign w:val="center"/>
          </w:tcPr>
          <w:p>
            <w:pPr>
              <w:pStyle w:val="44"/>
              <w:rPr>
                <w:kern w:val="0"/>
                <w:szCs w:val="21"/>
                <w:lang w:bidi="ar"/>
              </w:rPr>
            </w:pPr>
            <w:r>
              <w:rPr>
                <w:rFonts w:hint="eastAsia"/>
                <w:kern w:val="0"/>
                <w:szCs w:val="21"/>
                <w:lang w:bidi="ar"/>
              </w:rPr>
              <w:t>1044</w:t>
            </w:r>
          </w:p>
        </w:tc>
        <w:tc>
          <w:tcPr>
            <w:tcW w:w="445" w:type="pct"/>
            <w:gridSpan w:val="2"/>
            <w:vAlign w:val="center"/>
          </w:tcPr>
          <w:p>
            <w:pPr>
              <w:pStyle w:val="44"/>
              <w:rPr>
                <w:kern w:val="0"/>
                <w:szCs w:val="21"/>
                <w:lang w:bidi="ar"/>
              </w:rPr>
            </w:pPr>
            <w:r>
              <w:rPr>
                <w:rFonts w:hint="eastAsia"/>
                <w:kern w:val="0"/>
                <w:szCs w:val="21"/>
                <w:lang w:bidi="ar"/>
              </w:rPr>
              <w:t>1068</w:t>
            </w:r>
          </w:p>
        </w:tc>
        <w:tc>
          <w:tcPr>
            <w:tcW w:w="460" w:type="pct"/>
            <w:gridSpan w:val="2"/>
            <w:vAlign w:val="center"/>
          </w:tcPr>
          <w:p>
            <w:pPr>
              <w:pStyle w:val="44"/>
              <w:rPr>
                <w:kern w:val="0"/>
                <w:szCs w:val="21"/>
                <w:lang w:bidi="ar"/>
              </w:rPr>
            </w:pPr>
            <w:r>
              <w:rPr>
                <w:rFonts w:hint="eastAsia"/>
                <w:kern w:val="0"/>
                <w:szCs w:val="21"/>
                <w:lang w:bidi="ar"/>
              </w:rPr>
              <w:t>1062</w:t>
            </w:r>
          </w:p>
        </w:tc>
        <w:tc>
          <w:tcPr>
            <w:tcW w:w="359" w:type="pct"/>
            <w:gridSpan w:val="2"/>
            <w:vAlign w:val="center"/>
          </w:tcPr>
          <w:p>
            <w:pPr>
              <w:spacing w:line="240" w:lineRule="auto"/>
              <w:ind w:firstLine="0" w:firstLineChars="0"/>
              <w:jc w:val="center"/>
              <w:rPr>
                <w:sz w:val="21"/>
                <w:szCs w:val="21"/>
              </w:rPr>
            </w:pPr>
            <w:r>
              <w:rPr>
                <w:sz w:val="21"/>
                <w:szCs w:val="21"/>
              </w:rPr>
              <w:t>/</w:t>
            </w:r>
          </w:p>
        </w:tc>
        <w:tc>
          <w:tcPr>
            <w:tcW w:w="381" w:type="pct"/>
            <w:gridSpan w:val="2"/>
            <w:vAlign w:val="center"/>
          </w:tcPr>
          <w:p>
            <w:pPr>
              <w:pStyle w:val="74"/>
              <w:jc w:val="center"/>
              <w:rPr>
                <w:rFonts w:ascii="Times New Roman" w:hAnsi="Times New Roman"/>
                <w:szCs w:val="21"/>
              </w:rPr>
            </w:pP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74"/>
              <w:jc w:val="center"/>
              <w:rPr>
                <w:rFonts w:ascii="Times New Roman" w:hAnsi="Times New Roman"/>
                <w:szCs w:val="21"/>
              </w:rPr>
            </w:pPr>
          </w:p>
        </w:tc>
        <w:tc>
          <w:tcPr>
            <w:tcW w:w="342" w:type="pct"/>
            <w:gridSpan w:val="2"/>
            <w:vMerge w:val="continue"/>
            <w:vAlign w:val="center"/>
          </w:tcPr>
          <w:p>
            <w:pPr>
              <w:pStyle w:val="74"/>
              <w:jc w:val="center"/>
              <w:rPr>
                <w:rFonts w:ascii="Times New Roman" w:hAnsi="Times New Roman"/>
                <w:szCs w:val="21"/>
              </w:rPr>
            </w:pPr>
          </w:p>
        </w:tc>
        <w:tc>
          <w:tcPr>
            <w:tcW w:w="951" w:type="pct"/>
            <w:gridSpan w:val="2"/>
            <w:vAlign w:val="center"/>
          </w:tcPr>
          <w:p>
            <w:pPr>
              <w:pStyle w:val="74"/>
              <w:jc w:val="center"/>
              <w:rPr>
                <w:rFonts w:ascii="Times New Roman" w:hAnsi="Times New Roman"/>
                <w:szCs w:val="21"/>
              </w:rPr>
            </w:pPr>
            <w:r>
              <w:rPr>
                <w:rFonts w:ascii="Times New Roman" w:hAnsi="Times New Roman"/>
                <w:szCs w:val="21"/>
              </w:rPr>
              <w:t>粪大肠菌群</w:t>
            </w:r>
          </w:p>
        </w:tc>
        <w:tc>
          <w:tcPr>
            <w:tcW w:w="501" w:type="pct"/>
            <w:gridSpan w:val="2"/>
            <w:vAlign w:val="center"/>
          </w:tcPr>
          <w:p>
            <w:pPr>
              <w:pStyle w:val="74"/>
              <w:jc w:val="center"/>
              <w:rPr>
                <w:rFonts w:ascii="Times New Roman" w:hAnsi="Times New Roman"/>
                <w:szCs w:val="21"/>
              </w:rPr>
            </w:pPr>
            <w:r>
              <w:rPr>
                <w:rFonts w:hint="eastAsia" w:ascii="Times New Roman" w:hAnsi="Times New Roman"/>
                <w:szCs w:val="21"/>
              </w:rPr>
              <w:t>6.3</w:t>
            </w:r>
            <w:r>
              <w:rPr>
                <w:rFonts w:ascii="Times New Roman" w:hAnsi="Times New Roman"/>
                <w:szCs w:val="21"/>
              </w:rPr>
              <w:t xml:space="preserve">× 10³ </w:t>
            </w:r>
          </w:p>
        </w:tc>
        <w:tc>
          <w:tcPr>
            <w:tcW w:w="463" w:type="pct"/>
            <w:gridSpan w:val="2"/>
            <w:vAlign w:val="center"/>
          </w:tcPr>
          <w:p>
            <w:pPr>
              <w:pStyle w:val="74"/>
              <w:jc w:val="center"/>
              <w:rPr>
                <w:rFonts w:ascii="Times New Roman" w:hAnsi="Times New Roman"/>
                <w:szCs w:val="21"/>
              </w:rPr>
            </w:pPr>
            <w:r>
              <w:rPr>
                <w:rFonts w:hint="eastAsia" w:ascii="Times New Roman" w:hAnsi="Times New Roman"/>
                <w:szCs w:val="21"/>
              </w:rPr>
              <w:t>4.6</w:t>
            </w:r>
            <w:r>
              <w:rPr>
                <w:rFonts w:ascii="Times New Roman" w:hAnsi="Times New Roman"/>
                <w:szCs w:val="21"/>
              </w:rPr>
              <w:t xml:space="preserve"> × 10³</w:t>
            </w:r>
          </w:p>
        </w:tc>
        <w:tc>
          <w:tcPr>
            <w:tcW w:w="481" w:type="pct"/>
            <w:gridSpan w:val="2"/>
            <w:vAlign w:val="center"/>
          </w:tcPr>
          <w:p>
            <w:pPr>
              <w:pStyle w:val="74"/>
              <w:jc w:val="center"/>
              <w:rPr>
                <w:rFonts w:ascii="Times New Roman" w:hAnsi="Times New Roman"/>
                <w:szCs w:val="21"/>
              </w:rPr>
            </w:pPr>
            <w:r>
              <w:rPr>
                <w:rFonts w:ascii="Times New Roman" w:hAnsi="Times New Roman"/>
                <w:szCs w:val="21"/>
              </w:rPr>
              <w:t>7.0 × 10³</w:t>
            </w:r>
          </w:p>
        </w:tc>
        <w:tc>
          <w:tcPr>
            <w:tcW w:w="445" w:type="pct"/>
            <w:gridSpan w:val="2"/>
            <w:vAlign w:val="center"/>
          </w:tcPr>
          <w:p>
            <w:pPr>
              <w:pStyle w:val="74"/>
              <w:jc w:val="center"/>
              <w:rPr>
                <w:rFonts w:ascii="Times New Roman" w:hAnsi="Times New Roman"/>
                <w:szCs w:val="21"/>
              </w:rPr>
            </w:pPr>
            <w:r>
              <w:rPr>
                <w:rFonts w:ascii="Times New Roman" w:hAnsi="Times New Roman"/>
                <w:szCs w:val="21"/>
              </w:rPr>
              <w:t xml:space="preserve">4.9 × 10³ </w:t>
            </w:r>
          </w:p>
        </w:tc>
        <w:tc>
          <w:tcPr>
            <w:tcW w:w="460" w:type="pct"/>
            <w:gridSpan w:val="2"/>
            <w:vAlign w:val="center"/>
          </w:tcPr>
          <w:p>
            <w:pPr>
              <w:pStyle w:val="74"/>
              <w:jc w:val="center"/>
              <w:rPr>
                <w:rFonts w:ascii="Times New Roman" w:hAnsi="Times New Roman"/>
                <w:szCs w:val="21"/>
              </w:rPr>
            </w:pPr>
            <w:r>
              <w:rPr>
                <w:rFonts w:ascii="Times New Roman" w:hAnsi="Times New Roman"/>
                <w:szCs w:val="21"/>
              </w:rPr>
              <w:t>5.</w:t>
            </w:r>
            <w:r>
              <w:rPr>
                <w:rFonts w:hint="eastAsia" w:ascii="Times New Roman" w:hAnsi="Times New Roman"/>
                <w:szCs w:val="21"/>
              </w:rPr>
              <w:t>7</w:t>
            </w:r>
            <w:r>
              <w:rPr>
                <w:rFonts w:ascii="Times New Roman" w:hAnsi="Times New Roman"/>
                <w:szCs w:val="21"/>
              </w:rPr>
              <w:t xml:space="preserve"> × 10³ </w:t>
            </w:r>
          </w:p>
        </w:tc>
        <w:tc>
          <w:tcPr>
            <w:tcW w:w="359" w:type="pct"/>
            <w:gridSpan w:val="2"/>
            <w:vAlign w:val="center"/>
          </w:tcPr>
          <w:p>
            <w:pPr>
              <w:spacing w:line="240" w:lineRule="auto"/>
              <w:ind w:firstLine="0" w:firstLineChars="0"/>
              <w:jc w:val="center"/>
              <w:rPr>
                <w:sz w:val="21"/>
                <w:szCs w:val="21"/>
              </w:rPr>
            </w:pPr>
            <w:r>
              <w:rPr>
                <w:sz w:val="21"/>
                <w:szCs w:val="21"/>
              </w:rPr>
              <w:t>/</w:t>
            </w:r>
          </w:p>
        </w:tc>
        <w:tc>
          <w:tcPr>
            <w:tcW w:w="381" w:type="pct"/>
            <w:gridSpan w:val="2"/>
            <w:vAlign w:val="center"/>
          </w:tcPr>
          <w:p>
            <w:pPr>
              <w:pStyle w:val="74"/>
              <w:jc w:val="center"/>
              <w:rPr>
                <w:rFonts w:ascii="Times New Roman" w:hAnsi="Times New Roman"/>
                <w:szCs w:val="21"/>
              </w:rPr>
            </w:pPr>
            <w:r>
              <w:rPr>
                <w:rFonts w:ascii="Times New Roman" w:hAnsi="Times New Roman"/>
                <w:color w:val="000000"/>
                <w:kern w:val="0"/>
                <w:sz w:val="20"/>
                <w:szCs w:val="20"/>
                <w:lang w:bidi="ar"/>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74"/>
              <w:jc w:val="center"/>
              <w:rPr>
                <w:rFonts w:ascii="Times New Roman" w:hAnsi="Times New Roman"/>
                <w:szCs w:val="21"/>
              </w:rPr>
            </w:pPr>
          </w:p>
        </w:tc>
        <w:tc>
          <w:tcPr>
            <w:tcW w:w="342" w:type="pct"/>
            <w:gridSpan w:val="2"/>
            <w:vMerge w:val="continue"/>
            <w:vAlign w:val="center"/>
          </w:tcPr>
          <w:p>
            <w:pPr>
              <w:pStyle w:val="74"/>
              <w:jc w:val="center"/>
              <w:rPr>
                <w:rFonts w:ascii="Times New Roman" w:hAnsi="Times New Roman"/>
                <w:szCs w:val="21"/>
              </w:rPr>
            </w:pPr>
          </w:p>
        </w:tc>
        <w:tc>
          <w:tcPr>
            <w:tcW w:w="951" w:type="pct"/>
            <w:gridSpan w:val="2"/>
            <w:vAlign w:val="center"/>
          </w:tcPr>
          <w:p>
            <w:pPr>
              <w:pStyle w:val="74"/>
              <w:jc w:val="center"/>
              <w:rPr>
                <w:rFonts w:ascii="Times New Roman" w:hAnsi="Times New Roman"/>
                <w:szCs w:val="21"/>
              </w:rPr>
            </w:pPr>
            <w:r>
              <w:rPr>
                <w:rFonts w:ascii="Times New Roman" w:hAnsi="Times New Roman"/>
                <w:szCs w:val="21"/>
              </w:rPr>
              <w:t>色度</w:t>
            </w:r>
          </w:p>
        </w:tc>
        <w:tc>
          <w:tcPr>
            <w:tcW w:w="501" w:type="pct"/>
            <w:gridSpan w:val="2"/>
            <w:vAlign w:val="center"/>
          </w:tcPr>
          <w:p>
            <w:pPr>
              <w:pStyle w:val="74"/>
              <w:spacing w:line="240" w:lineRule="exact"/>
              <w:jc w:val="center"/>
              <w:rPr>
                <w:rFonts w:ascii="Times New Roman" w:hAnsi="Times New Roman"/>
                <w:szCs w:val="21"/>
              </w:rPr>
            </w:pPr>
            <w:r>
              <w:rPr>
                <w:rFonts w:ascii="Times New Roman" w:hAnsi="Times New Roman"/>
                <w:szCs w:val="21"/>
              </w:rPr>
              <w:t xml:space="preserve">20 </w:t>
            </w:r>
          </w:p>
        </w:tc>
        <w:tc>
          <w:tcPr>
            <w:tcW w:w="463" w:type="pct"/>
            <w:gridSpan w:val="2"/>
            <w:vAlign w:val="center"/>
          </w:tcPr>
          <w:p>
            <w:pPr>
              <w:pStyle w:val="74"/>
              <w:spacing w:line="240" w:lineRule="exact"/>
              <w:jc w:val="center"/>
              <w:rPr>
                <w:rFonts w:ascii="Times New Roman" w:hAnsi="Times New Roman"/>
                <w:szCs w:val="21"/>
              </w:rPr>
            </w:pPr>
            <w:r>
              <w:rPr>
                <w:rFonts w:ascii="Times New Roman" w:hAnsi="Times New Roman"/>
                <w:szCs w:val="21"/>
              </w:rPr>
              <w:t xml:space="preserve">20 </w:t>
            </w:r>
          </w:p>
        </w:tc>
        <w:tc>
          <w:tcPr>
            <w:tcW w:w="481" w:type="pct"/>
            <w:gridSpan w:val="2"/>
            <w:vAlign w:val="center"/>
          </w:tcPr>
          <w:p>
            <w:pPr>
              <w:pStyle w:val="74"/>
              <w:spacing w:line="240" w:lineRule="exact"/>
              <w:jc w:val="center"/>
              <w:rPr>
                <w:rFonts w:ascii="Times New Roman" w:hAnsi="Times New Roman"/>
                <w:szCs w:val="21"/>
              </w:rPr>
            </w:pPr>
            <w:r>
              <w:rPr>
                <w:rFonts w:ascii="Times New Roman" w:hAnsi="Times New Roman"/>
                <w:szCs w:val="21"/>
              </w:rPr>
              <w:t xml:space="preserve">20 </w:t>
            </w:r>
          </w:p>
        </w:tc>
        <w:tc>
          <w:tcPr>
            <w:tcW w:w="445" w:type="pct"/>
            <w:gridSpan w:val="2"/>
            <w:vAlign w:val="center"/>
          </w:tcPr>
          <w:p>
            <w:pPr>
              <w:pStyle w:val="74"/>
              <w:spacing w:line="240" w:lineRule="exact"/>
              <w:jc w:val="center"/>
              <w:rPr>
                <w:rFonts w:ascii="Times New Roman" w:hAnsi="Times New Roman"/>
                <w:szCs w:val="21"/>
              </w:rPr>
            </w:pPr>
            <w:r>
              <w:rPr>
                <w:rFonts w:ascii="Times New Roman" w:hAnsi="Times New Roman"/>
                <w:szCs w:val="21"/>
              </w:rPr>
              <w:t xml:space="preserve">20 </w:t>
            </w:r>
          </w:p>
        </w:tc>
        <w:tc>
          <w:tcPr>
            <w:tcW w:w="460" w:type="pct"/>
            <w:gridSpan w:val="2"/>
            <w:vAlign w:val="center"/>
          </w:tcPr>
          <w:p>
            <w:pPr>
              <w:pStyle w:val="74"/>
              <w:spacing w:line="240" w:lineRule="exact"/>
              <w:jc w:val="center"/>
              <w:rPr>
                <w:rFonts w:ascii="Times New Roman" w:hAnsi="Times New Roman"/>
                <w:szCs w:val="21"/>
              </w:rPr>
            </w:pPr>
            <w:r>
              <w:rPr>
                <w:rFonts w:hint="eastAsia" w:ascii="Times New Roman" w:hAnsi="Times New Roman"/>
                <w:szCs w:val="21"/>
              </w:rPr>
              <w:t>20</w:t>
            </w:r>
          </w:p>
        </w:tc>
        <w:tc>
          <w:tcPr>
            <w:tcW w:w="359" w:type="pct"/>
            <w:gridSpan w:val="2"/>
            <w:vAlign w:val="center"/>
          </w:tcPr>
          <w:p>
            <w:pPr>
              <w:spacing w:line="240" w:lineRule="auto"/>
              <w:ind w:firstLine="0" w:firstLineChars="0"/>
              <w:jc w:val="center"/>
              <w:rPr>
                <w:sz w:val="21"/>
                <w:szCs w:val="21"/>
              </w:rPr>
            </w:pPr>
            <w:r>
              <w:rPr>
                <w:sz w:val="21"/>
                <w:szCs w:val="21"/>
              </w:rPr>
              <w:t>/</w:t>
            </w:r>
          </w:p>
        </w:tc>
        <w:tc>
          <w:tcPr>
            <w:tcW w:w="381" w:type="pct"/>
            <w:gridSpan w:val="2"/>
            <w:vAlign w:val="center"/>
          </w:tcPr>
          <w:p>
            <w:pPr>
              <w:pStyle w:val="74"/>
              <w:jc w:val="center"/>
              <w:rPr>
                <w:rFonts w:ascii="Times New Roman" w:hAnsi="Times New Roman"/>
                <w:szCs w:val="21"/>
              </w:rPr>
            </w:pPr>
            <w:r>
              <w:rPr>
                <w:rFonts w:ascii="Times New Roman" w:hAnsi="Times New Roman"/>
                <w:szCs w:val="21"/>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74"/>
              <w:jc w:val="center"/>
              <w:rPr>
                <w:rFonts w:ascii="Times New Roman" w:hAnsi="Times New Roman"/>
                <w:szCs w:val="21"/>
              </w:rPr>
            </w:pPr>
          </w:p>
        </w:tc>
        <w:tc>
          <w:tcPr>
            <w:tcW w:w="342" w:type="pct"/>
            <w:gridSpan w:val="2"/>
            <w:vMerge w:val="continue"/>
            <w:vAlign w:val="center"/>
          </w:tcPr>
          <w:p>
            <w:pPr>
              <w:pStyle w:val="74"/>
              <w:jc w:val="center"/>
              <w:rPr>
                <w:rFonts w:ascii="Times New Roman" w:hAnsi="Times New Roman"/>
                <w:szCs w:val="21"/>
              </w:rPr>
            </w:pPr>
          </w:p>
        </w:tc>
        <w:tc>
          <w:tcPr>
            <w:tcW w:w="951" w:type="pct"/>
            <w:gridSpan w:val="2"/>
            <w:vAlign w:val="center"/>
          </w:tcPr>
          <w:p>
            <w:pPr>
              <w:pStyle w:val="74"/>
              <w:jc w:val="center"/>
              <w:rPr>
                <w:rFonts w:ascii="Times New Roman" w:hAnsi="Times New Roman"/>
                <w:szCs w:val="21"/>
              </w:rPr>
            </w:pPr>
            <w:r>
              <w:rPr>
                <w:rFonts w:ascii="Times New Roman" w:hAnsi="Times New Roman"/>
                <w:szCs w:val="21"/>
              </w:rPr>
              <w:t>阴离子表面活性剂</w:t>
            </w:r>
          </w:p>
        </w:tc>
        <w:tc>
          <w:tcPr>
            <w:tcW w:w="501" w:type="pct"/>
            <w:gridSpan w:val="2"/>
            <w:vAlign w:val="center"/>
          </w:tcPr>
          <w:p>
            <w:pPr>
              <w:pStyle w:val="74"/>
              <w:spacing w:line="240" w:lineRule="exact"/>
              <w:jc w:val="center"/>
              <w:rPr>
                <w:rFonts w:ascii="Times New Roman" w:hAnsi="Times New Roman"/>
                <w:szCs w:val="21"/>
              </w:rPr>
            </w:pPr>
            <w:r>
              <w:rPr>
                <w:rFonts w:hint="eastAsia" w:ascii="Times New Roman" w:hAnsi="Times New Roman"/>
                <w:szCs w:val="21"/>
              </w:rPr>
              <w:t>0.30</w:t>
            </w:r>
          </w:p>
        </w:tc>
        <w:tc>
          <w:tcPr>
            <w:tcW w:w="463" w:type="pct"/>
            <w:gridSpan w:val="2"/>
            <w:vAlign w:val="center"/>
          </w:tcPr>
          <w:p>
            <w:pPr>
              <w:pStyle w:val="74"/>
              <w:spacing w:line="240" w:lineRule="exact"/>
              <w:jc w:val="center"/>
              <w:rPr>
                <w:rFonts w:ascii="Times New Roman" w:hAnsi="Times New Roman"/>
                <w:szCs w:val="21"/>
              </w:rPr>
            </w:pPr>
            <w:r>
              <w:rPr>
                <w:rFonts w:hint="eastAsia" w:ascii="Times New Roman" w:hAnsi="Times New Roman"/>
                <w:szCs w:val="21"/>
              </w:rPr>
              <w:t>0.29</w:t>
            </w:r>
          </w:p>
        </w:tc>
        <w:tc>
          <w:tcPr>
            <w:tcW w:w="481" w:type="pct"/>
            <w:gridSpan w:val="2"/>
            <w:vAlign w:val="center"/>
          </w:tcPr>
          <w:p>
            <w:pPr>
              <w:pStyle w:val="74"/>
              <w:spacing w:line="240" w:lineRule="exact"/>
              <w:jc w:val="center"/>
              <w:rPr>
                <w:rFonts w:ascii="Times New Roman" w:hAnsi="Times New Roman"/>
                <w:szCs w:val="21"/>
              </w:rPr>
            </w:pPr>
            <w:r>
              <w:rPr>
                <w:rFonts w:hint="eastAsia" w:ascii="Times New Roman" w:hAnsi="Times New Roman"/>
                <w:szCs w:val="21"/>
              </w:rPr>
              <w:t>0.28</w:t>
            </w:r>
          </w:p>
        </w:tc>
        <w:tc>
          <w:tcPr>
            <w:tcW w:w="445" w:type="pct"/>
            <w:gridSpan w:val="2"/>
            <w:vAlign w:val="center"/>
          </w:tcPr>
          <w:p>
            <w:pPr>
              <w:pStyle w:val="74"/>
              <w:spacing w:line="240" w:lineRule="exact"/>
              <w:jc w:val="center"/>
              <w:rPr>
                <w:rFonts w:ascii="Times New Roman" w:hAnsi="Times New Roman"/>
                <w:szCs w:val="21"/>
              </w:rPr>
            </w:pPr>
            <w:r>
              <w:rPr>
                <w:rFonts w:hint="eastAsia" w:ascii="Times New Roman" w:hAnsi="Times New Roman"/>
                <w:szCs w:val="21"/>
              </w:rPr>
              <w:t>0.27</w:t>
            </w:r>
          </w:p>
        </w:tc>
        <w:tc>
          <w:tcPr>
            <w:tcW w:w="460" w:type="pct"/>
            <w:gridSpan w:val="2"/>
            <w:vAlign w:val="center"/>
          </w:tcPr>
          <w:p>
            <w:pPr>
              <w:pStyle w:val="74"/>
              <w:spacing w:line="240" w:lineRule="exact"/>
              <w:jc w:val="center"/>
              <w:rPr>
                <w:rFonts w:ascii="Times New Roman" w:hAnsi="Times New Roman"/>
                <w:szCs w:val="21"/>
              </w:rPr>
            </w:pPr>
            <w:r>
              <w:rPr>
                <w:rFonts w:hint="eastAsia" w:ascii="Times New Roman" w:hAnsi="Times New Roman"/>
                <w:szCs w:val="21"/>
              </w:rPr>
              <w:t>0.28</w:t>
            </w:r>
          </w:p>
        </w:tc>
        <w:tc>
          <w:tcPr>
            <w:tcW w:w="359" w:type="pct"/>
            <w:gridSpan w:val="2"/>
            <w:vAlign w:val="center"/>
          </w:tcPr>
          <w:p>
            <w:pPr>
              <w:spacing w:line="240" w:lineRule="auto"/>
              <w:ind w:firstLine="0" w:firstLineChars="0"/>
              <w:jc w:val="center"/>
              <w:rPr>
                <w:sz w:val="21"/>
                <w:szCs w:val="21"/>
              </w:rPr>
            </w:pPr>
            <w:r>
              <w:rPr>
                <w:sz w:val="21"/>
                <w:szCs w:val="21"/>
              </w:rPr>
              <w:t>/</w:t>
            </w:r>
          </w:p>
        </w:tc>
        <w:tc>
          <w:tcPr>
            <w:tcW w:w="381" w:type="pct"/>
            <w:gridSpan w:val="2"/>
            <w:vAlign w:val="center"/>
          </w:tcPr>
          <w:p>
            <w:pPr>
              <w:pStyle w:val="74"/>
              <w:jc w:val="center"/>
              <w:rPr>
                <w:rFonts w:ascii="Times New Roman" w:hAnsi="Times New Roman"/>
                <w:szCs w:val="21"/>
              </w:rPr>
            </w:pP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restart"/>
            <w:vAlign w:val="center"/>
          </w:tcPr>
          <w:p>
            <w:pPr>
              <w:pStyle w:val="44"/>
              <w:rPr>
                <w:kern w:val="0"/>
                <w:szCs w:val="21"/>
                <w:lang w:bidi="ar"/>
              </w:rPr>
            </w:pPr>
            <w:r>
              <w:rPr>
                <w:kern w:val="0"/>
                <w:szCs w:val="21"/>
                <w:lang w:bidi="ar"/>
              </w:rPr>
              <w:t>2024-02-2</w:t>
            </w:r>
            <w:r>
              <w:rPr>
                <w:rFonts w:hint="eastAsia"/>
                <w:kern w:val="0"/>
                <w:szCs w:val="21"/>
                <w:lang w:bidi="ar"/>
              </w:rPr>
              <w:t>9</w:t>
            </w:r>
          </w:p>
        </w:tc>
        <w:tc>
          <w:tcPr>
            <w:tcW w:w="342" w:type="pct"/>
            <w:gridSpan w:val="2"/>
            <w:vMerge w:val="restart"/>
            <w:vAlign w:val="center"/>
          </w:tcPr>
          <w:p>
            <w:pPr>
              <w:pStyle w:val="44"/>
              <w:rPr>
                <w:kern w:val="0"/>
                <w:szCs w:val="21"/>
                <w:lang w:bidi="ar"/>
              </w:rPr>
            </w:pPr>
            <w:r>
              <w:rPr>
                <w:kern w:val="0"/>
                <w:szCs w:val="21"/>
                <w:lang w:bidi="ar"/>
              </w:rPr>
              <w:t>污水处理设施</w:t>
            </w:r>
            <w:r>
              <w:rPr>
                <w:rFonts w:hint="eastAsia"/>
                <w:kern w:val="0"/>
                <w:szCs w:val="21"/>
                <w:lang w:bidi="ar"/>
              </w:rPr>
              <w:t>出</w:t>
            </w:r>
            <w:r>
              <w:rPr>
                <w:kern w:val="0"/>
                <w:szCs w:val="21"/>
                <w:lang w:bidi="ar"/>
              </w:rPr>
              <w:t>口</w:t>
            </w:r>
          </w:p>
        </w:tc>
        <w:tc>
          <w:tcPr>
            <w:tcW w:w="951" w:type="pct"/>
            <w:gridSpan w:val="2"/>
            <w:vAlign w:val="center"/>
          </w:tcPr>
          <w:p>
            <w:pPr>
              <w:pStyle w:val="44"/>
              <w:rPr>
                <w:kern w:val="0"/>
                <w:szCs w:val="21"/>
                <w:lang w:bidi="ar"/>
              </w:rPr>
            </w:pPr>
            <w:r>
              <w:rPr>
                <w:kern w:val="0"/>
                <w:szCs w:val="21"/>
                <w:lang w:bidi="ar"/>
              </w:rPr>
              <w:t>pH 值(无量纲)</w:t>
            </w:r>
          </w:p>
        </w:tc>
        <w:tc>
          <w:tcPr>
            <w:tcW w:w="501" w:type="pct"/>
            <w:gridSpan w:val="2"/>
            <w:vAlign w:val="center"/>
          </w:tcPr>
          <w:p>
            <w:pPr>
              <w:pStyle w:val="44"/>
              <w:rPr>
                <w:kern w:val="0"/>
                <w:szCs w:val="21"/>
                <w:lang w:bidi="ar"/>
              </w:rPr>
            </w:pPr>
            <w:r>
              <w:rPr>
                <w:kern w:val="0"/>
                <w:szCs w:val="21"/>
                <w:lang w:bidi="ar"/>
              </w:rPr>
              <w:t>7.</w:t>
            </w:r>
            <w:r>
              <w:rPr>
                <w:rFonts w:hint="eastAsia"/>
                <w:kern w:val="0"/>
                <w:szCs w:val="21"/>
                <w:lang w:bidi="ar"/>
              </w:rPr>
              <w:t>7</w:t>
            </w:r>
          </w:p>
        </w:tc>
        <w:tc>
          <w:tcPr>
            <w:tcW w:w="463" w:type="pct"/>
            <w:gridSpan w:val="2"/>
            <w:vAlign w:val="center"/>
          </w:tcPr>
          <w:p>
            <w:pPr>
              <w:pStyle w:val="44"/>
              <w:rPr>
                <w:kern w:val="0"/>
                <w:szCs w:val="21"/>
                <w:lang w:bidi="ar"/>
              </w:rPr>
            </w:pPr>
            <w:r>
              <w:rPr>
                <w:kern w:val="0"/>
                <w:szCs w:val="21"/>
                <w:lang w:bidi="ar"/>
              </w:rPr>
              <w:t>7.8</w:t>
            </w:r>
          </w:p>
        </w:tc>
        <w:tc>
          <w:tcPr>
            <w:tcW w:w="481" w:type="pct"/>
            <w:gridSpan w:val="2"/>
            <w:vAlign w:val="center"/>
          </w:tcPr>
          <w:p>
            <w:pPr>
              <w:pStyle w:val="44"/>
              <w:rPr>
                <w:kern w:val="0"/>
                <w:szCs w:val="21"/>
                <w:lang w:bidi="ar"/>
              </w:rPr>
            </w:pPr>
            <w:r>
              <w:rPr>
                <w:kern w:val="0"/>
                <w:szCs w:val="21"/>
                <w:lang w:bidi="ar"/>
              </w:rPr>
              <w:t>7.</w:t>
            </w:r>
            <w:r>
              <w:rPr>
                <w:rFonts w:hint="eastAsia"/>
                <w:kern w:val="0"/>
                <w:szCs w:val="21"/>
                <w:lang w:bidi="ar"/>
              </w:rPr>
              <w:t>7</w:t>
            </w:r>
          </w:p>
        </w:tc>
        <w:tc>
          <w:tcPr>
            <w:tcW w:w="445" w:type="pct"/>
            <w:gridSpan w:val="2"/>
            <w:vAlign w:val="center"/>
          </w:tcPr>
          <w:p>
            <w:pPr>
              <w:pStyle w:val="44"/>
              <w:rPr>
                <w:kern w:val="0"/>
                <w:szCs w:val="21"/>
                <w:lang w:bidi="ar"/>
              </w:rPr>
            </w:pPr>
            <w:r>
              <w:rPr>
                <w:kern w:val="0"/>
                <w:szCs w:val="21"/>
                <w:lang w:bidi="ar"/>
              </w:rPr>
              <w:t>7.8</w:t>
            </w:r>
          </w:p>
        </w:tc>
        <w:tc>
          <w:tcPr>
            <w:tcW w:w="460" w:type="pct"/>
            <w:gridSpan w:val="2"/>
            <w:vAlign w:val="center"/>
          </w:tcPr>
          <w:p>
            <w:pPr>
              <w:pStyle w:val="44"/>
              <w:rPr>
                <w:kern w:val="0"/>
                <w:szCs w:val="21"/>
                <w:lang w:bidi="ar"/>
              </w:rPr>
            </w:pPr>
            <w:r>
              <w:rPr>
                <w:rFonts w:hint="eastAsia"/>
                <w:kern w:val="0"/>
                <w:szCs w:val="21"/>
                <w:lang w:bidi="ar"/>
              </w:rPr>
              <w:t>7.7-7.8</w:t>
            </w:r>
          </w:p>
        </w:tc>
        <w:tc>
          <w:tcPr>
            <w:tcW w:w="359" w:type="pct"/>
            <w:gridSpan w:val="2"/>
            <w:vAlign w:val="center"/>
          </w:tcPr>
          <w:p>
            <w:pPr>
              <w:pStyle w:val="44"/>
              <w:rPr>
                <w:kern w:val="0"/>
                <w:szCs w:val="21"/>
                <w:lang w:bidi="ar"/>
              </w:rPr>
            </w:pPr>
            <w:r>
              <w:rPr>
                <w:rFonts w:hint="eastAsia"/>
                <w:kern w:val="0"/>
                <w:szCs w:val="21"/>
                <w:lang w:bidi="ar"/>
              </w:rPr>
              <w:t>6.0-9.0</w:t>
            </w:r>
          </w:p>
        </w:tc>
        <w:tc>
          <w:tcPr>
            <w:tcW w:w="381" w:type="pct"/>
            <w:gridSpan w:val="2"/>
            <w:vAlign w:val="center"/>
          </w:tcPr>
          <w:p>
            <w:pPr>
              <w:pStyle w:val="44"/>
              <w:rPr>
                <w:kern w:val="0"/>
                <w:szCs w:val="21"/>
                <w:lang w:bidi="ar"/>
              </w:rPr>
            </w:pPr>
            <w:r>
              <w:rPr>
                <w:kern w:val="0"/>
                <w:szCs w:val="21"/>
                <w:lang w:bidi="ar"/>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五日生化需氧量</w:t>
            </w:r>
          </w:p>
        </w:tc>
        <w:tc>
          <w:tcPr>
            <w:tcW w:w="501" w:type="pct"/>
            <w:gridSpan w:val="2"/>
            <w:vAlign w:val="center"/>
          </w:tcPr>
          <w:p>
            <w:pPr>
              <w:pStyle w:val="44"/>
              <w:rPr>
                <w:kern w:val="0"/>
                <w:szCs w:val="21"/>
                <w:lang w:bidi="ar"/>
              </w:rPr>
            </w:pPr>
            <w:r>
              <w:rPr>
                <w:rFonts w:hint="eastAsia"/>
                <w:kern w:val="0"/>
                <w:szCs w:val="21"/>
                <w:lang w:bidi="ar"/>
              </w:rPr>
              <w:t>8.4</w:t>
            </w:r>
          </w:p>
        </w:tc>
        <w:tc>
          <w:tcPr>
            <w:tcW w:w="463" w:type="pct"/>
            <w:gridSpan w:val="2"/>
            <w:vAlign w:val="center"/>
          </w:tcPr>
          <w:p>
            <w:pPr>
              <w:pStyle w:val="44"/>
              <w:rPr>
                <w:kern w:val="0"/>
                <w:szCs w:val="21"/>
                <w:lang w:bidi="ar"/>
              </w:rPr>
            </w:pPr>
            <w:r>
              <w:rPr>
                <w:rFonts w:hint="eastAsia"/>
                <w:kern w:val="0"/>
                <w:szCs w:val="21"/>
                <w:lang w:bidi="ar"/>
              </w:rPr>
              <w:t>9.0</w:t>
            </w:r>
            <w:r>
              <w:rPr>
                <w:kern w:val="0"/>
                <w:szCs w:val="21"/>
                <w:lang w:bidi="ar"/>
              </w:rPr>
              <w:t xml:space="preserve"> </w:t>
            </w:r>
          </w:p>
        </w:tc>
        <w:tc>
          <w:tcPr>
            <w:tcW w:w="481" w:type="pct"/>
            <w:gridSpan w:val="2"/>
            <w:vAlign w:val="center"/>
          </w:tcPr>
          <w:p>
            <w:pPr>
              <w:pStyle w:val="44"/>
              <w:rPr>
                <w:kern w:val="0"/>
                <w:szCs w:val="21"/>
                <w:lang w:bidi="ar"/>
              </w:rPr>
            </w:pPr>
            <w:r>
              <w:rPr>
                <w:rFonts w:hint="eastAsia"/>
                <w:kern w:val="0"/>
                <w:szCs w:val="21"/>
                <w:lang w:bidi="ar"/>
              </w:rPr>
              <w:t>9.7</w:t>
            </w:r>
          </w:p>
        </w:tc>
        <w:tc>
          <w:tcPr>
            <w:tcW w:w="445" w:type="pct"/>
            <w:gridSpan w:val="2"/>
            <w:vAlign w:val="center"/>
          </w:tcPr>
          <w:p>
            <w:pPr>
              <w:pStyle w:val="44"/>
              <w:rPr>
                <w:kern w:val="0"/>
                <w:szCs w:val="21"/>
                <w:lang w:bidi="ar"/>
              </w:rPr>
            </w:pPr>
            <w:r>
              <w:rPr>
                <w:rFonts w:hint="eastAsia"/>
                <w:kern w:val="0"/>
                <w:szCs w:val="21"/>
                <w:lang w:bidi="ar"/>
              </w:rPr>
              <w:t>8.7</w:t>
            </w:r>
            <w:r>
              <w:rPr>
                <w:kern w:val="0"/>
                <w:szCs w:val="21"/>
                <w:lang w:bidi="ar"/>
              </w:rPr>
              <w:t xml:space="preserve"> </w:t>
            </w:r>
          </w:p>
        </w:tc>
        <w:tc>
          <w:tcPr>
            <w:tcW w:w="460" w:type="pct"/>
            <w:gridSpan w:val="2"/>
            <w:vAlign w:val="center"/>
          </w:tcPr>
          <w:p>
            <w:pPr>
              <w:pStyle w:val="44"/>
              <w:rPr>
                <w:kern w:val="0"/>
                <w:szCs w:val="21"/>
                <w:lang w:bidi="ar"/>
              </w:rPr>
            </w:pPr>
            <w:r>
              <w:rPr>
                <w:rFonts w:hint="eastAsia"/>
                <w:kern w:val="0"/>
                <w:szCs w:val="21"/>
                <w:lang w:bidi="ar"/>
              </w:rPr>
              <w:t>9.0</w:t>
            </w:r>
          </w:p>
        </w:tc>
        <w:tc>
          <w:tcPr>
            <w:tcW w:w="359" w:type="pct"/>
            <w:gridSpan w:val="2"/>
            <w:vAlign w:val="center"/>
          </w:tcPr>
          <w:p>
            <w:pPr>
              <w:pStyle w:val="44"/>
              <w:rPr>
                <w:kern w:val="0"/>
                <w:szCs w:val="21"/>
                <w:lang w:bidi="ar"/>
              </w:rPr>
            </w:pPr>
            <w:r>
              <w:rPr>
                <w:rFonts w:hint="eastAsia"/>
                <w:kern w:val="0"/>
                <w:szCs w:val="21"/>
                <w:lang w:bidi="ar"/>
              </w:rPr>
              <w:t>20</w:t>
            </w:r>
          </w:p>
        </w:tc>
        <w:tc>
          <w:tcPr>
            <w:tcW w:w="381" w:type="pct"/>
            <w:gridSpan w:val="2"/>
            <w:vAlign w:val="center"/>
          </w:tcPr>
          <w:p>
            <w:pPr>
              <w:pStyle w:val="44"/>
              <w:rPr>
                <w:kern w:val="0"/>
                <w:szCs w:val="21"/>
                <w:lang w:bidi="ar"/>
              </w:rPr>
            </w:pPr>
            <w:r>
              <w:rPr>
                <w:kern w:val="0"/>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溶解性总固体</w:t>
            </w:r>
          </w:p>
        </w:tc>
        <w:tc>
          <w:tcPr>
            <w:tcW w:w="501" w:type="pct"/>
            <w:gridSpan w:val="2"/>
            <w:vAlign w:val="center"/>
          </w:tcPr>
          <w:p>
            <w:pPr>
              <w:pStyle w:val="44"/>
              <w:rPr>
                <w:kern w:val="0"/>
                <w:szCs w:val="21"/>
                <w:lang w:bidi="ar"/>
              </w:rPr>
            </w:pPr>
            <w:r>
              <w:rPr>
                <w:rFonts w:hint="eastAsia"/>
                <w:kern w:val="0"/>
                <w:szCs w:val="21"/>
                <w:lang w:bidi="ar"/>
              </w:rPr>
              <w:t>951</w:t>
            </w:r>
            <w:r>
              <w:rPr>
                <w:kern w:val="0"/>
                <w:szCs w:val="21"/>
                <w:lang w:bidi="ar"/>
              </w:rPr>
              <w:t xml:space="preserve"> </w:t>
            </w:r>
          </w:p>
        </w:tc>
        <w:tc>
          <w:tcPr>
            <w:tcW w:w="463" w:type="pct"/>
            <w:gridSpan w:val="2"/>
            <w:vAlign w:val="center"/>
          </w:tcPr>
          <w:p>
            <w:pPr>
              <w:pStyle w:val="44"/>
              <w:rPr>
                <w:kern w:val="0"/>
                <w:szCs w:val="21"/>
                <w:lang w:bidi="ar"/>
              </w:rPr>
            </w:pPr>
            <w:r>
              <w:rPr>
                <w:rFonts w:hint="eastAsia"/>
                <w:kern w:val="0"/>
                <w:szCs w:val="21"/>
                <w:lang w:bidi="ar"/>
              </w:rPr>
              <w:t>926</w:t>
            </w:r>
            <w:r>
              <w:rPr>
                <w:kern w:val="0"/>
                <w:szCs w:val="21"/>
                <w:lang w:bidi="ar"/>
              </w:rPr>
              <w:t xml:space="preserve"> </w:t>
            </w:r>
          </w:p>
        </w:tc>
        <w:tc>
          <w:tcPr>
            <w:tcW w:w="481" w:type="pct"/>
            <w:gridSpan w:val="2"/>
            <w:vAlign w:val="center"/>
          </w:tcPr>
          <w:p>
            <w:pPr>
              <w:pStyle w:val="44"/>
              <w:rPr>
                <w:kern w:val="0"/>
                <w:szCs w:val="21"/>
                <w:lang w:bidi="ar"/>
              </w:rPr>
            </w:pPr>
            <w:r>
              <w:rPr>
                <w:rFonts w:hint="eastAsia"/>
                <w:kern w:val="0"/>
                <w:szCs w:val="21"/>
                <w:lang w:bidi="ar"/>
              </w:rPr>
              <w:t>919</w:t>
            </w:r>
            <w:r>
              <w:rPr>
                <w:kern w:val="0"/>
                <w:szCs w:val="21"/>
                <w:lang w:bidi="ar"/>
              </w:rPr>
              <w:t xml:space="preserve"> </w:t>
            </w:r>
          </w:p>
        </w:tc>
        <w:tc>
          <w:tcPr>
            <w:tcW w:w="445" w:type="pct"/>
            <w:gridSpan w:val="2"/>
            <w:vAlign w:val="center"/>
          </w:tcPr>
          <w:p>
            <w:pPr>
              <w:pStyle w:val="44"/>
              <w:rPr>
                <w:kern w:val="0"/>
                <w:szCs w:val="21"/>
                <w:lang w:bidi="ar"/>
              </w:rPr>
            </w:pPr>
            <w:r>
              <w:rPr>
                <w:rFonts w:hint="eastAsia"/>
                <w:kern w:val="0"/>
                <w:szCs w:val="21"/>
                <w:lang w:bidi="ar"/>
              </w:rPr>
              <w:t>935</w:t>
            </w:r>
            <w:r>
              <w:rPr>
                <w:kern w:val="0"/>
                <w:szCs w:val="21"/>
                <w:lang w:bidi="ar"/>
              </w:rPr>
              <w:t xml:space="preserve"> </w:t>
            </w:r>
          </w:p>
        </w:tc>
        <w:tc>
          <w:tcPr>
            <w:tcW w:w="460" w:type="pct"/>
            <w:gridSpan w:val="2"/>
            <w:vAlign w:val="center"/>
          </w:tcPr>
          <w:p>
            <w:pPr>
              <w:pStyle w:val="44"/>
              <w:rPr>
                <w:kern w:val="0"/>
                <w:szCs w:val="21"/>
                <w:lang w:bidi="ar"/>
              </w:rPr>
            </w:pPr>
            <w:r>
              <w:rPr>
                <w:rFonts w:hint="eastAsia"/>
                <w:kern w:val="0"/>
                <w:szCs w:val="21"/>
                <w:lang w:bidi="ar"/>
              </w:rPr>
              <w:t>933</w:t>
            </w:r>
          </w:p>
        </w:tc>
        <w:tc>
          <w:tcPr>
            <w:tcW w:w="359" w:type="pct"/>
            <w:gridSpan w:val="2"/>
            <w:vAlign w:val="center"/>
          </w:tcPr>
          <w:p>
            <w:pPr>
              <w:pStyle w:val="44"/>
              <w:rPr>
                <w:kern w:val="0"/>
                <w:szCs w:val="21"/>
                <w:lang w:bidi="ar"/>
              </w:rPr>
            </w:pPr>
            <w:r>
              <w:rPr>
                <w:rFonts w:hint="eastAsia"/>
                <w:kern w:val="0"/>
                <w:szCs w:val="21"/>
                <w:lang w:bidi="ar"/>
              </w:rPr>
              <w:t>1000</w:t>
            </w:r>
          </w:p>
        </w:tc>
        <w:tc>
          <w:tcPr>
            <w:tcW w:w="381" w:type="pct"/>
            <w:gridSpan w:val="2"/>
            <w:vAlign w:val="center"/>
          </w:tcPr>
          <w:p>
            <w:pPr>
              <w:pStyle w:val="44"/>
              <w:rPr>
                <w:kern w:val="0"/>
                <w:szCs w:val="21"/>
                <w:lang w:bidi="ar"/>
              </w:rPr>
            </w:pPr>
            <w:r>
              <w:rPr>
                <w:kern w:val="0"/>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粪大肠菌群</w:t>
            </w:r>
          </w:p>
        </w:tc>
        <w:tc>
          <w:tcPr>
            <w:tcW w:w="501" w:type="pct"/>
            <w:gridSpan w:val="2"/>
            <w:vAlign w:val="center"/>
          </w:tcPr>
          <w:p>
            <w:pPr>
              <w:pStyle w:val="44"/>
              <w:rPr>
                <w:kern w:val="0"/>
                <w:szCs w:val="21"/>
                <w:lang w:bidi="ar"/>
              </w:rPr>
            </w:pPr>
            <w:r>
              <w:rPr>
                <w:kern w:val="0"/>
                <w:szCs w:val="21"/>
                <w:lang w:bidi="ar"/>
              </w:rPr>
              <w:t>20L</w:t>
            </w:r>
          </w:p>
        </w:tc>
        <w:tc>
          <w:tcPr>
            <w:tcW w:w="463" w:type="pct"/>
            <w:gridSpan w:val="2"/>
            <w:vAlign w:val="center"/>
          </w:tcPr>
          <w:p>
            <w:pPr>
              <w:pStyle w:val="44"/>
              <w:rPr>
                <w:kern w:val="0"/>
                <w:szCs w:val="21"/>
                <w:lang w:bidi="ar"/>
              </w:rPr>
            </w:pPr>
            <w:r>
              <w:rPr>
                <w:kern w:val="0"/>
                <w:szCs w:val="21"/>
                <w:lang w:bidi="ar"/>
              </w:rPr>
              <w:t>20L</w:t>
            </w:r>
          </w:p>
        </w:tc>
        <w:tc>
          <w:tcPr>
            <w:tcW w:w="481" w:type="pct"/>
            <w:gridSpan w:val="2"/>
            <w:vAlign w:val="center"/>
          </w:tcPr>
          <w:p>
            <w:pPr>
              <w:pStyle w:val="44"/>
              <w:rPr>
                <w:kern w:val="0"/>
                <w:szCs w:val="21"/>
                <w:lang w:bidi="ar"/>
              </w:rPr>
            </w:pPr>
            <w:r>
              <w:rPr>
                <w:kern w:val="0"/>
                <w:szCs w:val="21"/>
                <w:lang w:bidi="ar"/>
              </w:rPr>
              <w:t>20L</w:t>
            </w:r>
          </w:p>
        </w:tc>
        <w:tc>
          <w:tcPr>
            <w:tcW w:w="445" w:type="pct"/>
            <w:gridSpan w:val="2"/>
            <w:vAlign w:val="center"/>
          </w:tcPr>
          <w:p>
            <w:pPr>
              <w:pStyle w:val="44"/>
              <w:rPr>
                <w:kern w:val="0"/>
                <w:szCs w:val="21"/>
                <w:lang w:bidi="ar"/>
              </w:rPr>
            </w:pPr>
            <w:r>
              <w:rPr>
                <w:kern w:val="0"/>
                <w:szCs w:val="21"/>
                <w:lang w:bidi="ar"/>
              </w:rPr>
              <w:t>20L</w:t>
            </w:r>
          </w:p>
        </w:tc>
        <w:tc>
          <w:tcPr>
            <w:tcW w:w="460" w:type="pct"/>
            <w:gridSpan w:val="2"/>
            <w:vAlign w:val="center"/>
          </w:tcPr>
          <w:p>
            <w:pPr>
              <w:pStyle w:val="44"/>
              <w:rPr>
                <w:kern w:val="0"/>
                <w:szCs w:val="21"/>
                <w:lang w:bidi="ar"/>
              </w:rPr>
            </w:pPr>
            <w:r>
              <w:rPr>
                <w:kern w:val="0"/>
                <w:szCs w:val="21"/>
                <w:lang w:bidi="ar"/>
              </w:rPr>
              <w:t>20L</w:t>
            </w:r>
          </w:p>
        </w:tc>
        <w:tc>
          <w:tcPr>
            <w:tcW w:w="359" w:type="pct"/>
            <w:gridSpan w:val="2"/>
            <w:vAlign w:val="center"/>
          </w:tcPr>
          <w:p>
            <w:pPr>
              <w:pStyle w:val="44"/>
              <w:rPr>
                <w:kern w:val="0"/>
                <w:szCs w:val="21"/>
                <w:lang w:bidi="ar"/>
              </w:rPr>
            </w:pPr>
            <w:r>
              <w:rPr>
                <w:rFonts w:hint="eastAsia"/>
                <w:kern w:val="0"/>
                <w:szCs w:val="21"/>
                <w:lang w:bidi="ar"/>
              </w:rPr>
              <w:t>200</w:t>
            </w:r>
          </w:p>
        </w:tc>
        <w:tc>
          <w:tcPr>
            <w:tcW w:w="381" w:type="pct"/>
            <w:gridSpan w:val="2"/>
            <w:vAlign w:val="center"/>
          </w:tcPr>
          <w:p>
            <w:pPr>
              <w:pStyle w:val="44"/>
              <w:rPr>
                <w:kern w:val="0"/>
                <w:szCs w:val="21"/>
                <w:lang w:bidi="ar"/>
              </w:rPr>
            </w:pPr>
            <w:r>
              <w:rPr>
                <w:kern w:val="0"/>
                <w:szCs w:val="21"/>
                <w:lang w:bidi="ar"/>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色度</w:t>
            </w:r>
          </w:p>
        </w:tc>
        <w:tc>
          <w:tcPr>
            <w:tcW w:w="501" w:type="pct"/>
            <w:gridSpan w:val="2"/>
            <w:vAlign w:val="center"/>
          </w:tcPr>
          <w:p>
            <w:pPr>
              <w:pStyle w:val="44"/>
              <w:rPr>
                <w:kern w:val="0"/>
                <w:szCs w:val="21"/>
                <w:lang w:bidi="ar"/>
              </w:rPr>
            </w:pPr>
            <w:r>
              <w:rPr>
                <w:rFonts w:hint="eastAsia"/>
                <w:kern w:val="0"/>
                <w:szCs w:val="21"/>
                <w:lang w:bidi="ar"/>
              </w:rPr>
              <w:t>6</w:t>
            </w:r>
            <w:r>
              <w:rPr>
                <w:kern w:val="0"/>
                <w:szCs w:val="21"/>
                <w:lang w:bidi="ar"/>
              </w:rPr>
              <w:t xml:space="preserve"> </w:t>
            </w:r>
          </w:p>
        </w:tc>
        <w:tc>
          <w:tcPr>
            <w:tcW w:w="463" w:type="pct"/>
            <w:gridSpan w:val="2"/>
            <w:vAlign w:val="center"/>
          </w:tcPr>
          <w:p>
            <w:pPr>
              <w:pStyle w:val="44"/>
              <w:rPr>
                <w:kern w:val="0"/>
                <w:szCs w:val="21"/>
                <w:lang w:bidi="ar"/>
              </w:rPr>
            </w:pPr>
            <w:r>
              <w:rPr>
                <w:rFonts w:hint="eastAsia"/>
                <w:kern w:val="0"/>
                <w:szCs w:val="21"/>
                <w:lang w:bidi="ar"/>
              </w:rPr>
              <w:t>5</w:t>
            </w:r>
          </w:p>
        </w:tc>
        <w:tc>
          <w:tcPr>
            <w:tcW w:w="481" w:type="pct"/>
            <w:gridSpan w:val="2"/>
            <w:vAlign w:val="center"/>
          </w:tcPr>
          <w:p>
            <w:pPr>
              <w:pStyle w:val="44"/>
              <w:rPr>
                <w:kern w:val="0"/>
                <w:szCs w:val="21"/>
                <w:lang w:bidi="ar"/>
              </w:rPr>
            </w:pPr>
            <w:r>
              <w:rPr>
                <w:rFonts w:hint="eastAsia"/>
                <w:kern w:val="0"/>
                <w:szCs w:val="21"/>
                <w:lang w:bidi="ar"/>
              </w:rPr>
              <w:t>7</w:t>
            </w:r>
          </w:p>
        </w:tc>
        <w:tc>
          <w:tcPr>
            <w:tcW w:w="445" w:type="pct"/>
            <w:gridSpan w:val="2"/>
            <w:vAlign w:val="center"/>
          </w:tcPr>
          <w:p>
            <w:pPr>
              <w:pStyle w:val="44"/>
              <w:rPr>
                <w:kern w:val="0"/>
                <w:szCs w:val="21"/>
                <w:lang w:bidi="ar"/>
              </w:rPr>
            </w:pPr>
            <w:r>
              <w:rPr>
                <w:rFonts w:hint="eastAsia"/>
                <w:kern w:val="0"/>
                <w:szCs w:val="21"/>
                <w:lang w:bidi="ar"/>
              </w:rPr>
              <w:t>6</w:t>
            </w:r>
          </w:p>
        </w:tc>
        <w:tc>
          <w:tcPr>
            <w:tcW w:w="460" w:type="pct"/>
            <w:gridSpan w:val="2"/>
            <w:vAlign w:val="center"/>
          </w:tcPr>
          <w:p>
            <w:pPr>
              <w:pStyle w:val="44"/>
              <w:rPr>
                <w:kern w:val="0"/>
                <w:szCs w:val="21"/>
                <w:lang w:bidi="ar"/>
              </w:rPr>
            </w:pPr>
            <w:r>
              <w:rPr>
                <w:kern w:val="0"/>
                <w:szCs w:val="21"/>
                <w:lang w:bidi="ar"/>
              </w:rPr>
              <w:t xml:space="preserve">6 </w:t>
            </w:r>
          </w:p>
        </w:tc>
        <w:tc>
          <w:tcPr>
            <w:tcW w:w="359" w:type="pct"/>
            <w:gridSpan w:val="2"/>
            <w:vAlign w:val="center"/>
          </w:tcPr>
          <w:p>
            <w:pPr>
              <w:pStyle w:val="44"/>
              <w:rPr>
                <w:kern w:val="0"/>
                <w:szCs w:val="21"/>
                <w:lang w:bidi="ar"/>
              </w:rPr>
            </w:pPr>
            <w:r>
              <w:rPr>
                <w:rFonts w:hint="eastAsia"/>
                <w:kern w:val="0"/>
                <w:szCs w:val="21"/>
                <w:lang w:bidi="ar"/>
              </w:rPr>
              <w:t>30</w:t>
            </w:r>
          </w:p>
        </w:tc>
        <w:tc>
          <w:tcPr>
            <w:tcW w:w="381" w:type="pct"/>
            <w:gridSpan w:val="2"/>
            <w:vAlign w:val="center"/>
          </w:tcPr>
          <w:p>
            <w:pPr>
              <w:pStyle w:val="44"/>
              <w:rPr>
                <w:kern w:val="0"/>
                <w:szCs w:val="21"/>
                <w:lang w:bidi="ar"/>
              </w:rPr>
            </w:pPr>
            <w:r>
              <w:rPr>
                <w:kern w:val="0"/>
                <w:szCs w:val="21"/>
                <w:lang w:bidi="ar"/>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382" w:type="pct"/>
            <w:gridSpan w:val="2"/>
            <w:vMerge w:val="continue"/>
            <w:vAlign w:val="center"/>
          </w:tcPr>
          <w:p>
            <w:pPr>
              <w:pStyle w:val="44"/>
              <w:rPr>
                <w:kern w:val="0"/>
                <w:szCs w:val="21"/>
                <w:lang w:bidi="ar"/>
              </w:rPr>
            </w:pPr>
          </w:p>
        </w:tc>
        <w:tc>
          <w:tcPr>
            <w:tcW w:w="342" w:type="pct"/>
            <w:gridSpan w:val="2"/>
            <w:vMerge w:val="continue"/>
            <w:vAlign w:val="center"/>
          </w:tcPr>
          <w:p>
            <w:pPr>
              <w:pStyle w:val="44"/>
              <w:rPr>
                <w:kern w:val="0"/>
                <w:szCs w:val="21"/>
                <w:lang w:bidi="ar"/>
              </w:rPr>
            </w:pPr>
          </w:p>
        </w:tc>
        <w:tc>
          <w:tcPr>
            <w:tcW w:w="951" w:type="pct"/>
            <w:gridSpan w:val="2"/>
            <w:vAlign w:val="center"/>
          </w:tcPr>
          <w:p>
            <w:pPr>
              <w:pStyle w:val="44"/>
              <w:rPr>
                <w:kern w:val="0"/>
                <w:szCs w:val="21"/>
                <w:lang w:bidi="ar"/>
              </w:rPr>
            </w:pPr>
            <w:r>
              <w:rPr>
                <w:kern w:val="0"/>
                <w:szCs w:val="21"/>
                <w:lang w:bidi="ar"/>
              </w:rPr>
              <w:t>阴离子表面活性剂</w:t>
            </w:r>
          </w:p>
        </w:tc>
        <w:tc>
          <w:tcPr>
            <w:tcW w:w="501" w:type="pct"/>
            <w:gridSpan w:val="2"/>
            <w:vAlign w:val="center"/>
          </w:tcPr>
          <w:p>
            <w:pPr>
              <w:pStyle w:val="44"/>
              <w:rPr>
                <w:kern w:val="0"/>
                <w:szCs w:val="21"/>
                <w:lang w:bidi="ar"/>
              </w:rPr>
            </w:pPr>
            <w:r>
              <w:rPr>
                <w:kern w:val="0"/>
                <w:szCs w:val="21"/>
                <w:lang w:bidi="ar"/>
              </w:rPr>
              <w:t>0.0</w:t>
            </w:r>
            <w:r>
              <w:rPr>
                <w:rFonts w:hint="eastAsia"/>
                <w:kern w:val="0"/>
                <w:szCs w:val="21"/>
                <w:lang w:bidi="ar"/>
              </w:rPr>
              <w:t>7</w:t>
            </w:r>
            <w:r>
              <w:rPr>
                <w:kern w:val="0"/>
                <w:szCs w:val="21"/>
                <w:lang w:bidi="ar"/>
              </w:rPr>
              <w:t xml:space="preserve"> </w:t>
            </w:r>
          </w:p>
        </w:tc>
        <w:tc>
          <w:tcPr>
            <w:tcW w:w="463" w:type="pct"/>
            <w:gridSpan w:val="2"/>
            <w:vAlign w:val="center"/>
          </w:tcPr>
          <w:p>
            <w:pPr>
              <w:pStyle w:val="44"/>
              <w:rPr>
                <w:kern w:val="0"/>
                <w:szCs w:val="21"/>
                <w:lang w:bidi="ar"/>
              </w:rPr>
            </w:pPr>
            <w:r>
              <w:rPr>
                <w:kern w:val="0"/>
                <w:szCs w:val="21"/>
                <w:lang w:bidi="ar"/>
              </w:rPr>
              <w:t xml:space="preserve">0.07 </w:t>
            </w:r>
          </w:p>
        </w:tc>
        <w:tc>
          <w:tcPr>
            <w:tcW w:w="481" w:type="pct"/>
            <w:gridSpan w:val="2"/>
            <w:vAlign w:val="center"/>
          </w:tcPr>
          <w:p>
            <w:pPr>
              <w:pStyle w:val="44"/>
              <w:rPr>
                <w:kern w:val="0"/>
                <w:szCs w:val="21"/>
                <w:lang w:bidi="ar"/>
              </w:rPr>
            </w:pPr>
            <w:r>
              <w:rPr>
                <w:kern w:val="0"/>
                <w:szCs w:val="21"/>
                <w:lang w:bidi="ar"/>
              </w:rPr>
              <w:t>0.0</w:t>
            </w:r>
            <w:r>
              <w:rPr>
                <w:rFonts w:hint="eastAsia"/>
                <w:kern w:val="0"/>
                <w:szCs w:val="21"/>
                <w:lang w:bidi="ar"/>
              </w:rPr>
              <w:t>8</w:t>
            </w:r>
            <w:r>
              <w:rPr>
                <w:kern w:val="0"/>
                <w:szCs w:val="21"/>
                <w:lang w:bidi="ar"/>
              </w:rPr>
              <w:t xml:space="preserve"> </w:t>
            </w:r>
          </w:p>
        </w:tc>
        <w:tc>
          <w:tcPr>
            <w:tcW w:w="445" w:type="pct"/>
            <w:gridSpan w:val="2"/>
            <w:vAlign w:val="center"/>
          </w:tcPr>
          <w:p>
            <w:pPr>
              <w:pStyle w:val="44"/>
              <w:rPr>
                <w:kern w:val="0"/>
                <w:szCs w:val="21"/>
                <w:lang w:bidi="ar"/>
              </w:rPr>
            </w:pPr>
            <w:r>
              <w:rPr>
                <w:kern w:val="0"/>
                <w:szCs w:val="21"/>
                <w:lang w:bidi="ar"/>
              </w:rPr>
              <w:t>0.0</w:t>
            </w:r>
            <w:r>
              <w:rPr>
                <w:rFonts w:hint="eastAsia"/>
                <w:kern w:val="0"/>
                <w:szCs w:val="21"/>
                <w:lang w:bidi="ar"/>
              </w:rPr>
              <w:t>6</w:t>
            </w:r>
            <w:r>
              <w:rPr>
                <w:kern w:val="0"/>
                <w:szCs w:val="21"/>
                <w:lang w:bidi="ar"/>
              </w:rPr>
              <w:t xml:space="preserve"> </w:t>
            </w:r>
          </w:p>
        </w:tc>
        <w:tc>
          <w:tcPr>
            <w:tcW w:w="460" w:type="pct"/>
            <w:gridSpan w:val="2"/>
            <w:vAlign w:val="center"/>
          </w:tcPr>
          <w:p>
            <w:pPr>
              <w:pStyle w:val="44"/>
              <w:rPr>
                <w:kern w:val="0"/>
                <w:szCs w:val="21"/>
                <w:lang w:bidi="ar"/>
              </w:rPr>
            </w:pPr>
            <w:r>
              <w:rPr>
                <w:kern w:val="0"/>
                <w:szCs w:val="21"/>
                <w:lang w:bidi="ar"/>
              </w:rPr>
              <w:t xml:space="preserve">0.07 </w:t>
            </w:r>
          </w:p>
        </w:tc>
        <w:tc>
          <w:tcPr>
            <w:tcW w:w="359" w:type="pct"/>
            <w:gridSpan w:val="2"/>
            <w:vAlign w:val="center"/>
          </w:tcPr>
          <w:p>
            <w:pPr>
              <w:pStyle w:val="44"/>
              <w:rPr>
                <w:kern w:val="0"/>
                <w:szCs w:val="21"/>
                <w:lang w:bidi="ar"/>
              </w:rPr>
            </w:pPr>
            <w:r>
              <w:rPr>
                <w:rFonts w:hint="eastAsia"/>
                <w:kern w:val="0"/>
                <w:szCs w:val="21"/>
                <w:lang w:bidi="ar"/>
              </w:rPr>
              <w:t>1.0</w:t>
            </w:r>
          </w:p>
        </w:tc>
        <w:tc>
          <w:tcPr>
            <w:tcW w:w="381" w:type="pct"/>
            <w:gridSpan w:val="2"/>
            <w:vAlign w:val="center"/>
          </w:tcPr>
          <w:p>
            <w:pPr>
              <w:pStyle w:val="44"/>
              <w:rPr>
                <w:kern w:val="0"/>
                <w:szCs w:val="21"/>
                <w:lang w:bidi="ar"/>
              </w:rPr>
            </w:pPr>
            <w:r>
              <w:rPr>
                <w:kern w:val="0"/>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Before w:val="1"/>
          <w:wBefore w:w="227" w:type="pct"/>
          <w:trHeight w:val="23" w:hRule="atLeast"/>
          <w:jc w:val="center"/>
        </w:trPr>
        <w:tc>
          <w:tcPr>
            <w:tcW w:w="4772" w:type="pct"/>
            <w:gridSpan w:val="20"/>
            <w:vAlign w:val="center"/>
          </w:tcPr>
          <w:p>
            <w:pPr>
              <w:pStyle w:val="44"/>
              <w:rPr>
                <w:kern w:val="0"/>
                <w:szCs w:val="21"/>
                <w:lang w:bidi="ar"/>
              </w:rPr>
            </w:pPr>
            <w:r>
              <w:rPr>
                <w:rFonts w:hint="eastAsia" w:ascii="Times New Roman" w:hAnsi="Times New Roman"/>
                <w:szCs w:val="21"/>
                <w:lang w:val="en-US" w:eastAsia="zh-CN"/>
              </w:rPr>
              <w:t>根据统计废水量处理量：2m</w:t>
            </w:r>
            <w:r>
              <w:rPr>
                <w:rFonts w:hint="eastAsia" w:ascii="Times New Roman" w:hAnsi="Times New Roman"/>
                <w:szCs w:val="21"/>
                <w:vertAlign w:val="superscript"/>
                <w:lang w:val="en-US" w:eastAsia="zh-CN"/>
              </w:rPr>
              <w:t>3</w:t>
            </w:r>
            <w:r>
              <w:rPr>
                <w:rFonts w:hint="eastAsia" w:ascii="Times New Roman" w:hAnsi="Times New Roman"/>
                <w:szCs w:val="21"/>
                <w:vertAlign w:val="baseline"/>
                <w:lang w:val="en-US" w:eastAsia="zh-CN"/>
              </w:rPr>
              <w:t>/d</w:t>
            </w:r>
          </w:p>
        </w:tc>
      </w:tr>
    </w:tbl>
    <w:p>
      <w:pPr>
        <w:spacing w:line="240" w:lineRule="auto"/>
        <w:ind w:firstLine="480"/>
        <w:rPr>
          <w:highlight w:val="yellow"/>
        </w:rPr>
      </w:pPr>
    </w:p>
    <w:p>
      <w:pPr>
        <w:ind w:firstLine="480"/>
      </w:pPr>
      <w:r>
        <w:t>由表9.2-</w:t>
      </w:r>
      <w:r>
        <w:rPr>
          <w:rFonts w:hint="eastAsia"/>
        </w:rPr>
        <w:t>4</w:t>
      </w:r>
      <w:r>
        <w:t>可知，验收检测期间，污水处理设施</w:t>
      </w:r>
      <w:r>
        <w:rPr>
          <w:rFonts w:hint="eastAsia"/>
        </w:rPr>
        <w:t>出口</w:t>
      </w:r>
      <w:r>
        <w:t>两天检测数据日均值分别为：pH值</w:t>
      </w:r>
      <w:r>
        <w:rPr>
          <w:rFonts w:hint="eastAsia"/>
        </w:rPr>
        <w:t>7.8、7.7</w:t>
      </w:r>
      <w:r>
        <w:t>~</w:t>
      </w:r>
      <w:r>
        <w:rPr>
          <w:rFonts w:hint="eastAsia"/>
        </w:rPr>
        <w:t>7.8；</w:t>
      </w:r>
      <w:r>
        <w:t>五日生化需氧量</w:t>
      </w:r>
      <w:r>
        <w:rPr>
          <w:rFonts w:hint="eastAsia"/>
        </w:rPr>
        <w:t>9.7</w:t>
      </w:r>
      <w:r>
        <w:t>mg/L、</w:t>
      </w:r>
      <w:r>
        <w:rPr>
          <w:rFonts w:hint="eastAsia"/>
        </w:rPr>
        <w:t>9.0</w:t>
      </w:r>
      <w:r>
        <w:t xml:space="preserve">mg/L；溶解性总固体 </w:t>
      </w:r>
      <w:r>
        <w:rPr>
          <w:rFonts w:hint="eastAsia"/>
        </w:rPr>
        <w:t>950</w:t>
      </w:r>
      <w:r>
        <w:t>mg/L、</w:t>
      </w:r>
      <w:r>
        <w:rPr>
          <w:rFonts w:hint="eastAsia"/>
        </w:rPr>
        <w:t>933</w:t>
      </w:r>
      <w:r>
        <w:t>mg/L；</w:t>
      </w:r>
      <w:r>
        <w:rPr>
          <w:rFonts w:hint="eastAsia"/>
        </w:rPr>
        <w:t>粪大肠菌群</w:t>
      </w:r>
      <w:r>
        <w:rPr>
          <w:kern w:val="0"/>
          <w:szCs w:val="21"/>
          <w:lang w:bidi="ar"/>
        </w:rPr>
        <w:t>20L</w:t>
      </w:r>
      <w:r>
        <w:rPr>
          <w:rFonts w:hint="eastAsia"/>
          <w:kern w:val="0"/>
          <w:szCs w:val="21"/>
          <w:lang w:bidi="ar"/>
        </w:rPr>
        <w:t>；</w:t>
      </w:r>
      <w:r>
        <w:t>色度</w:t>
      </w:r>
      <w:r>
        <w:rPr>
          <w:rFonts w:hint="eastAsia"/>
        </w:rPr>
        <w:t>6</w:t>
      </w:r>
      <w:r>
        <w:t>倍；</w:t>
      </w:r>
      <w:r>
        <w:rPr>
          <w:rFonts w:hint="eastAsia"/>
        </w:rPr>
        <w:t>阴离子表面活性剂0.07</w:t>
      </w:r>
      <w:r>
        <w:t>mg/L，废水</w:t>
      </w:r>
      <w:r>
        <w:rPr>
          <w:rFonts w:hint="eastAsia"/>
        </w:rPr>
        <w:t>水质</w:t>
      </w:r>
      <w:r>
        <w:t>达到《城市污水再生利用 绿地灌溉水质》</w:t>
      </w:r>
      <w:r>
        <w:rPr>
          <w:highlight w:val="none"/>
        </w:rPr>
        <w:t xml:space="preserve"> (</w:t>
      </w:r>
      <w:r>
        <w:rPr>
          <w:rFonts w:hint="eastAsia"/>
          <w:highlight w:val="none"/>
          <w:lang w:eastAsia="zh-CN"/>
        </w:rPr>
        <w:t>GB</w:t>
      </w:r>
      <w:r>
        <w:rPr>
          <w:highlight w:val="none"/>
        </w:rPr>
        <w:t>/T25499-2010)</w:t>
      </w:r>
      <w:r>
        <w:t>标准。</w:t>
      </w:r>
    </w:p>
    <w:p>
      <w:pPr>
        <w:pStyle w:val="6"/>
        <w:tabs>
          <w:tab w:val="left" w:pos="864"/>
        </w:tabs>
      </w:pPr>
    </w:p>
    <w:p>
      <w:pPr>
        <w:ind w:firstLine="480"/>
      </w:pPr>
      <w:r>
        <w:rPr>
          <w:rFonts w:hint="eastAsia"/>
        </w:rPr>
        <w:br w:type="page"/>
      </w:r>
    </w:p>
    <w:p>
      <w:pPr>
        <w:pStyle w:val="6"/>
        <w:tabs>
          <w:tab w:val="left" w:pos="864"/>
        </w:tabs>
      </w:pPr>
      <w:r>
        <w:rPr>
          <w:rFonts w:hint="eastAsia"/>
        </w:rPr>
        <w:t>9.2.2.2</w:t>
      </w:r>
      <w:r>
        <w:t>废气</w:t>
      </w:r>
    </w:p>
    <w:p>
      <w:pPr>
        <w:ind w:firstLine="480"/>
      </w:pPr>
      <w:bookmarkStart w:id="1129" w:name="_Toc18737_WPSOffice_Level3"/>
      <w:bookmarkStart w:id="1130" w:name="_Toc24173_WPSOffice_Level3"/>
      <w:r>
        <w:t>（1）有组织排放</w:t>
      </w:r>
    </w:p>
    <w:p>
      <w:pPr>
        <w:ind w:firstLine="480"/>
      </w:pPr>
      <w:r>
        <w:t>有组织排放废气监测点位见图3.1-3，废气检测结果见表9.2-</w:t>
      </w:r>
      <w:r>
        <w:rPr>
          <w:rFonts w:hint="eastAsia"/>
        </w:rPr>
        <w:t>5</w:t>
      </w:r>
      <w:r>
        <w:t>。</w:t>
      </w:r>
    </w:p>
    <w:p>
      <w:pPr>
        <w:pStyle w:val="48"/>
      </w:pPr>
      <w:r>
        <w:t>表9.2-</w:t>
      </w:r>
      <w:r>
        <w:rPr>
          <w:rFonts w:hint="eastAsia"/>
        </w:rPr>
        <w:t>5</w:t>
      </w:r>
      <w:r>
        <w:t xml:space="preserve"> 废气检测结果一览表</w:t>
      </w:r>
    </w:p>
    <w:tbl>
      <w:tblPr>
        <w:tblStyle w:val="35"/>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37"/>
        <w:gridCol w:w="1025"/>
        <w:gridCol w:w="950"/>
        <w:gridCol w:w="1175"/>
        <w:gridCol w:w="1063"/>
        <w:gridCol w:w="1037"/>
        <w:gridCol w:w="103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restart"/>
            <w:vAlign w:val="center"/>
          </w:tcPr>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采样日期</w:t>
            </w:r>
          </w:p>
        </w:tc>
        <w:tc>
          <w:tcPr>
            <w:tcW w:w="837"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w:t>
            </w:r>
          </w:p>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点位</w:t>
            </w:r>
          </w:p>
        </w:tc>
        <w:tc>
          <w:tcPr>
            <w:tcW w:w="1025" w:type="dxa"/>
            <w:vMerge w:val="restart"/>
            <w:vAlign w:val="center"/>
          </w:tcPr>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检测项目</w:t>
            </w:r>
          </w:p>
        </w:tc>
        <w:tc>
          <w:tcPr>
            <w:tcW w:w="950"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w:t>
            </w:r>
          </w:p>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频次</w:t>
            </w:r>
          </w:p>
        </w:tc>
        <w:tc>
          <w:tcPr>
            <w:tcW w:w="1175"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标干流</w:t>
            </w:r>
          </w:p>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量(m³/h)</w:t>
            </w:r>
          </w:p>
        </w:tc>
        <w:tc>
          <w:tcPr>
            <w:tcW w:w="1063"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浓度（</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w:t>
            </w:r>
          </w:p>
        </w:tc>
        <w:tc>
          <w:tcPr>
            <w:tcW w:w="1037"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排放速率</w:t>
            </w:r>
          </w:p>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w:t>
            </w:r>
            <w:r>
              <w:rPr>
                <w:rFonts w:ascii="宋体" w:hAnsi="宋体" w:cs="宋体"/>
                <w:color w:val="000000"/>
                <w:kern w:val="0"/>
                <w:sz w:val="20"/>
                <w:szCs w:val="20"/>
                <w:lang w:bidi="ar"/>
              </w:rPr>
              <w:t>kg/h</w:t>
            </w:r>
            <w:r>
              <w:rPr>
                <w:rFonts w:hint="eastAsia" w:ascii="宋体" w:hAnsi="宋体" w:cs="宋体"/>
                <w:color w:val="000000"/>
                <w:kern w:val="0"/>
                <w:sz w:val="20"/>
                <w:szCs w:val="20"/>
                <w:lang w:bidi="ar"/>
              </w:rPr>
              <w:t>）</w:t>
            </w:r>
          </w:p>
        </w:tc>
        <w:tc>
          <w:tcPr>
            <w:tcW w:w="2013" w:type="dxa"/>
            <w:gridSpan w:val="2"/>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blHeader/>
        </w:trPr>
        <w:tc>
          <w:tcPr>
            <w:tcW w:w="752"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837"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25"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950"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175"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63"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37"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38" w:type="dxa"/>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浓度（</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w:t>
            </w:r>
          </w:p>
        </w:tc>
        <w:tc>
          <w:tcPr>
            <w:tcW w:w="975" w:type="dxa"/>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速率（</w:t>
            </w:r>
            <w:r>
              <w:rPr>
                <w:rFonts w:ascii="宋体" w:hAnsi="宋体" w:cs="宋体"/>
                <w:color w:val="000000"/>
                <w:kern w:val="0"/>
                <w:sz w:val="20"/>
                <w:szCs w:val="20"/>
                <w:lang w:bidi="ar"/>
              </w:rPr>
              <w:t>kg/h</w:t>
            </w:r>
            <w:r>
              <w:rPr>
                <w:rFonts w:hint="eastAsia" w:ascii="宋体" w:hAnsi="宋体" w:cs="宋体"/>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restart"/>
            <w:vAlign w:val="center"/>
          </w:tcPr>
          <w:p>
            <w:pPr>
              <w:widowControl/>
              <w:spacing w:line="240" w:lineRule="auto"/>
              <w:ind w:firstLine="0" w:firstLineChars="0"/>
              <w:jc w:val="center"/>
              <w:textAlignment w:val="center"/>
              <w:rPr>
                <w:highlight w:val="red"/>
              </w:rPr>
            </w:pPr>
            <w:r>
              <w:rPr>
                <w:color w:val="000000"/>
                <w:kern w:val="0"/>
                <w:sz w:val="20"/>
                <w:szCs w:val="20"/>
                <w:lang w:bidi="ar"/>
              </w:rPr>
              <w:t>2023- 12- 13</w:t>
            </w:r>
          </w:p>
        </w:tc>
        <w:tc>
          <w:tcPr>
            <w:tcW w:w="837" w:type="dxa"/>
            <w:vMerge w:val="restart"/>
            <w:vAlign w:val="center"/>
          </w:tcPr>
          <w:p>
            <w:pPr>
              <w:widowControl/>
              <w:spacing w:line="240" w:lineRule="auto"/>
              <w:ind w:firstLine="0" w:firstLineChars="0"/>
              <w:jc w:val="center"/>
              <w:textAlignment w:val="center"/>
              <w:rPr>
                <w:highlight w:val="red"/>
              </w:rPr>
            </w:pPr>
            <w:r>
              <w:rPr>
                <w:rFonts w:ascii="宋体" w:hAnsi="宋体" w:cs="宋体"/>
                <w:color w:val="000000"/>
                <w:kern w:val="0"/>
                <w:sz w:val="20"/>
                <w:szCs w:val="20"/>
                <w:lang w:bidi="ar"/>
              </w:rPr>
              <w:t xml:space="preserve">喷漆固化排气筒 </w:t>
            </w:r>
            <w:r>
              <w:rPr>
                <w:color w:val="000000"/>
                <w:kern w:val="0"/>
                <w:sz w:val="20"/>
                <w:szCs w:val="20"/>
                <w:lang w:bidi="ar"/>
              </w:rPr>
              <w:t xml:space="preserve">DA003 </w:t>
            </w:r>
            <w:r>
              <w:rPr>
                <w:rFonts w:ascii="宋体" w:hAnsi="宋体" w:cs="宋体"/>
                <w:color w:val="000000"/>
                <w:kern w:val="0"/>
                <w:sz w:val="20"/>
                <w:szCs w:val="20"/>
                <w:lang w:bidi="ar"/>
              </w:rPr>
              <w:t>处理前监测口</w:t>
            </w:r>
          </w:p>
        </w:tc>
        <w:tc>
          <w:tcPr>
            <w:tcW w:w="1025" w:type="dxa"/>
            <w:vMerge w:val="restart"/>
            <w:vAlign w:val="center"/>
          </w:tcPr>
          <w:p>
            <w:pPr>
              <w:widowControl/>
              <w:spacing w:line="240" w:lineRule="auto"/>
              <w:ind w:firstLine="0" w:firstLineChars="0"/>
              <w:jc w:val="center"/>
              <w:textAlignment w:val="center"/>
              <w:rPr>
                <w:highlight w:val="red"/>
              </w:rPr>
            </w:pPr>
            <w:r>
              <w:rPr>
                <w:color w:val="000000"/>
                <w:kern w:val="0"/>
                <w:sz w:val="20"/>
                <w:szCs w:val="20"/>
                <w:lang w:bidi="ar"/>
              </w:rPr>
              <w:t>VOCs</w:t>
            </w:r>
            <w:r>
              <w:rPr>
                <w:rFonts w:ascii="宋体" w:hAnsi="宋体" w:cs="宋体"/>
                <w:color w:val="000000"/>
                <w:kern w:val="0"/>
                <w:sz w:val="20"/>
                <w:szCs w:val="20"/>
                <w:lang w:bidi="ar"/>
              </w:rPr>
              <w:t>（以非甲烷总烃计）</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8669</w:t>
            </w:r>
          </w:p>
        </w:tc>
        <w:tc>
          <w:tcPr>
            <w:tcW w:w="1063"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142</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w:t>
            </w:r>
          </w:p>
        </w:tc>
        <w:tc>
          <w:tcPr>
            <w:tcW w:w="1038" w:type="dxa"/>
            <w:vMerge w:val="restart"/>
            <w:vAlign w:val="center"/>
          </w:tcPr>
          <w:p>
            <w:pPr>
              <w:pStyle w:val="33"/>
              <w:spacing w:line="240" w:lineRule="auto"/>
              <w:ind w:firstLine="0" w:firstLineChars="0"/>
              <w:jc w:val="center"/>
            </w:pPr>
            <w:r>
              <w:rPr>
                <w:rFonts w:hint="eastAsia"/>
              </w:rPr>
              <w:t>/</w:t>
            </w:r>
          </w:p>
        </w:tc>
        <w:tc>
          <w:tcPr>
            <w:tcW w:w="975" w:type="dxa"/>
            <w:vMerge w:val="restart"/>
            <w:vAlign w:val="center"/>
          </w:tcPr>
          <w:p>
            <w:pPr>
              <w:pStyle w:val="33"/>
              <w:spacing w:line="240" w:lineRule="auto"/>
              <w:ind w:firstLine="0" w:firstLineChars="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8547</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9079</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8847</w:t>
            </w:r>
          </w:p>
        </w:tc>
        <w:tc>
          <w:tcPr>
            <w:tcW w:w="1063"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144</w:t>
            </w:r>
          </w:p>
        </w:tc>
        <w:tc>
          <w:tcPr>
            <w:tcW w:w="1037"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1.3</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8858</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8467</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8588</w:t>
            </w:r>
          </w:p>
        </w:tc>
        <w:tc>
          <w:tcPr>
            <w:tcW w:w="1063"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144</w:t>
            </w:r>
          </w:p>
        </w:tc>
        <w:tc>
          <w:tcPr>
            <w:tcW w:w="1037"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1.3</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8852</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8976</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restart"/>
            <w:vAlign w:val="center"/>
          </w:tcPr>
          <w:p>
            <w:pPr>
              <w:widowControl/>
              <w:spacing w:line="240" w:lineRule="auto"/>
              <w:ind w:firstLine="0" w:firstLineChars="0"/>
              <w:jc w:val="center"/>
              <w:textAlignment w:val="center"/>
              <w:rPr>
                <w:highlight w:val="red"/>
              </w:rPr>
            </w:pPr>
            <w:r>
              <w:rPr>
                <w:rFonts w:ascii="宋体" w:hAnsi="宋体" w:cs="宋体"/>
                <w:color w:val="000000"/>
                <w:kern w:val="0"/>
                <w:sz w:val="20"/>
                <w:szCs w:val="20"/>
                <w:lang w:bidi="ar"/>
              </w:rPr>
              <w:t>颗粒物</w:t>
            </w:r>
          </w:p>
        </w:tc>
        <w:tc>
          <w:tcPr>
            <w:tcW w:w="950"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8669</w:t>
            </w:r>
          </w:p>
        </w:tc>
        <w:tc>
          <w:tcPr>
            <w:tcW w:w="1063"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25</w:t>
            </w:r>
          </w:p>
        </w:tc>
        <w:tc>
          <w:tcPr>
            <w:tcW w:w="1037"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0.22</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8547</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9079</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8847</w:t>
            </w:r>
          </w:p>
        </w:tc>
        <w:tc>
          <w:tcPr>
            <w:tcW w:w="1063"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25</w:t>
            </w:r>
          </w:p>
        </w:tc>
        <w:tc>
          <w:tcPr>
            <w:tcW w:w="1037"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0.22</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8858</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spacing w:line="240" w:lineRule="auto"/>
              <w:ind w:firstLine="0" w:firstLineChars="0"/>
              <w:jc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8467</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spacing w:line="240" w:lineRule="auto"/>
              <w:ind w:firstLine="0" w:firstLineChars="0"/>
              <w:jc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restart"/>
            <w:vAlign w:val="center"/>
          </w:tcPr>
          <w:p>
            <w:pPr>
              <w:spacing w:line="240" w:lineRule="auto"/>
              <w:ind w:firstLine="0" w:firstLineChars="0"/>
              <w:jc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8588</w:t>
            </w:r>
          </w:p>
        </w:tc>
        <w:tc>
          <w:tcPr>
            <w:tcW w:w="1063"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25</w:t>
            </w:r>
          </w:p>
        </w:tc>
        <w:tc>
          <w:tcPr>
            <w:tcW w:w="1037" w:type="dxa"/>
            <w:vMerge w:val="restart"/>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0.22</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8852</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rFonts w:hint="eastAsia"/>
                <w:color w:val="000000"/>
                <w:kern w:val="0"/>
                <w:sz w:val="20"/>
                <w:szCs w:val="20"/>
                <w:lang w:bidi="ar"/>
              </w:rPr>
              <w:t>8976</w:t>
            </w:r>
          </w:p>
        </w:tc>
        <w:tc>
          <w:tcPr>
            <w:tcW w:w="1063"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exact"/>
              <w:ind w:firstLine="0" w:firstLineChars="0"/>
              <w:jc w:val="center"/>
              <w:textAlignment w:val="center"/>
              <w:rPr>
                <w:color w:val="000000"/>
                <w:kern w:val="0"/>
                <w:sz w:val="20"/>
                <w:szCs w:val="20"/>
                <w:lang w:bidi="ar"/>
              </w:rPr>
            </w:pP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restart"/>
            <w:vAlign w:val="center"/>
          </w:tcPr>
          <w:p>
            <w:pPr>
              <w:spacing w:line="240" w:lineRule="auto"/>
              <w:ind w:firstLine="0" w:firstLineChars="0"/>
              <w:jc w:val="center"/>
              <w:rPr>
                <w:highlight w:val="red"/>
              </w:rPr>
            </w:pPr>
            <w:r>
              <w:rPr>
                <w:color w:val="000000"/>
                <w:kern w:val="0"/>
                <w:sz w:val="20"/>
                <w:szCs w:val="20"/>
                <w:lang w:bidi="ar"/>
              </w:rPr>
              <w:t>2023- 12- 13</w:t>
            </w:r>
          </w:p>
        </w:tc>
        <w:tc>
          <w:tcPr>
            <w:tcW w:w="837" w:type="dxa"/>
            <w:vMerge w:val="restart"/>
            <w:vAlign w:val="center"/>
          </w:tcPr>
          <w:p>
            <w:pPr>
              <w:spacing w:line="240" w:lineRule="auto"/>
              <w:ind w:firstLine="0" w:firstLineChars="0"/>
              <w:jc w:val="center"/>
              <w:rPr>
                <w:highlight w:val="red"/>
              </w:rPr>
            </w:pPr>
            <w:r>
              <w:rPr>
                <w:color w:val="000000"/>
                <w:kern w:val="0"/>
                <w:sz w:val="20"/>
                <w:szCs w:val="20"/>
                <w:lang w:bidi="ar"/>
              </w:rPr>
              <w:t>喷漆固化排气筒DA003 排气筒监测口</w:t>
            </w:r>
          </w:p>
        </w:tc>
        <w:tc>
          <w:tcPr>
            <w:tcW w:w="1025" w:type="dxa"/>
            <w:vMerge w:val="restart"/>
            <w:vAlign w:val="center"/>
          </w:tcPr>
          <w:p>
            <w:pPr>
              <w:spacing w:line="240" w:lineRule="auto"/>
              <w:ind w:firstLine="0" w:firstLineChars="0"/>
              <w:jc w:val="center"/>
              <w:rPr>
                <w:highlight w:val="red"/>
              </w:rPr>
            </w:pPr>
            <w:r>
              <w:rPr>
                <w:color w:val="000000"/>
                <w:kern w:val="0"/>
                <w:sz w:val="20"/>
                <w:szCs w:val="20"/>
                <w:lang w:bidi="ar"/>
              </w:rPr>
              <w:t>VOCs（以非甲烷总烃计）</w:t>
            </w:r>
          </w:p>
        </w:tc>
        <w:tc>
          <w:tcPr>
            <w:tcW w:w="950"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9049</w:t>
            </w:r>
          </w:p>
        </w:tc>
        <w:tc>
          <w:tcPr>
            <w:tcW w:w="1063"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1.61</w:t>
            </w:r>
          </w:p>
        </w:tc>
        <w:tc>
          <w:tcPr>
            <w:tcW w:w="1037"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restart"/>
            <w:vAlign w:val="center"/>
          </w:tcPr>
          <w:p>
            <w:pPr>
              <w:pStyle w:val="33"/>
              <w:spacing w:line="240" w:lineRule="auto"/>
              <w:ind w:firstLine="0" w:firstLineChars="0"/>
              <w:jc w:val="center"/>
            </w:pPr>
            <w:r>
              <w:rPr>
                <w:rFonts w:hint="eastAsia"/>
              </w:rPr>
              <w:t>70</w:t>
            </w:r>
          </w:p>
        </w:tc>
        <w:tc>
          <w:tcPr>
            <w:tcW w:w="975" w:type="dxa"/>
            <w:vMerge w:val="restart"/>
            <w:vAlign w:val="center"/>
          </w:tcPr>
          <w:p>
            <w:pPr>
              <w:pStyle w:val="33"/>
              <w:spacing w:line="240" w:lineRule="auto"/>
              <w:ind w:firstLine="0" w:firstLineChars="0"/>
              <w:jc w:val="center"/>
            </w:pPr>
            <w:r>
              <w:rPr>
                <w:rFonts w:hint="eastAsi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9436</w:t>
            </w:r>
          </w:p>
        </w:tc>
        <w:tc>
          <w:tcPr>
            <w:tcW w:w="1063"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1.61</w:t>
            </w:r>
          </w:p>
        </w:tc>
        <w:tc>
          <w:tcPr>
            <w:tcW w:w="1037"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CellMar>
            <w:top w:w="0" w:type="dxa"/>
            <w:left w:w="108" w:type="dxa"/>
            <w:bottom w:w="0" w:type="dxa"/>
            <w:right w:w="108" w:type="dxa"/>
          </w:tblCellMar>
        </w:tblPrEx>
        <w:trPr>
          <w:cantSplit/>
          <w:trHeight w:val="392"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9338</w:t>
            </w:r>
          </w:p>
        </w:tc>
        <w:tc>
          <w:tcPr>
            <w:tcW w:w="1063"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1.63</w:t>
            </w:r>
          </w:p>
        </w:tc>
        <w:tc>
          <w:tcPr>
            <w:tcW w:w="1037"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9049</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1.4</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0.013</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10</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9436</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1.5</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0.014</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9338</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1.5</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0.014</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tblHeader/>
        </w:trPr>
        <w:tc>
          <w:tcPr>
            <w:tcW w:w="752" w:type="dxa"/>
            <w:vMerge w:val="restart"/>
            <w:vAlign w:val="center"/>
          </w:tcPr>
          <w:p>
            <w:pPr>
              <w:widowControl/>
              <w:spacing w:line="240" w:lineRule="auto"/>
              <w:ind w:firstLine="0" w:firstLineChars="0"/>
              <w:jc w:val="center"/>
              <w:textAlignment w:val="center"/>
              <w:rPr>
                <w:highlight w:val="red"/>
              </w:rPr>
            </w:pPr>
            <w:r>
              <w:rPr>
                <w:color w:val="000000"/>
                <w:kern w:val="0"/>
                <w:sz w:val="20"/>
                <w:szCs w:val="20"/>
                <w:lang w:bidi="ar"/>
              </w:rPr>
              <w:t>2023- 12- 14</w:t>
            </w: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喷塑排气筒</w:t>
            </w:r>
            <w:r>
              <w:rPr>
                <w:color w:val="000000"/>
                <w:kern w:val="0"/>
                <w:sz w:val="20"/>
                <w:szCs w:val="20"/>
                <w:lang w:bidi="ar"/>
              </w:rPr>
              <w:br w:type="textWrapping"/>
            </w:r>
            <w:r>
              <w:rPr>
                <w:color w:val="000000"/>
                <w:kern w:val="0"/>
                <w:sz w:val="20"/>
                <w:szCs w:val="20"/>
                <w:lang w:bidi="ar"/>
              </w:rPr>
              <w:t>DA002 处理前监测口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13499</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0.32</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13583</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13112</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13164</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0.31</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12977</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13081</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13320</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0.32</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13410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13191</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752" w:type="dxa"/>
            <w:vMerge w:val="restart"/>
            <w:vAlign w:val="center"/>
          </w:tcPr>
          <w:p>
            <w:pPr>
              <w:widowControl/>
              <w:spacing w:line="240" w:lineRule="auto"/>
              <w:ind w:firstLine="0" w:firstLineChars="0"/>
              <w:jc w:val="center"/>
              <w:textAlignment w:val="center"/>
              <w:rPr>
                <w:highlight w:val="red"/>
              </w:rPr>
            </w:pPr>
            <w:r>
              <w:rPr>
                <w:color w:val="000000"/>
                <w:kern w:val="0"/>
                <w:sz w:val="20"/>
                <w:szCs w:val="20"/>
                <w:lang w:bidi="ar"/>
              </w:rPr>
              <w:t>2023- 12- 14</w:t>
            </w: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喷塑排气筒</w:t>
            </w:r>
            <w:r>
              <w:rPr>
                <w:color w:val="000000"/>
                <w:kern w:val="0"/>
                <w:sz w:val="20"/>
                <w:szCs w:val="20"/>
                <w:lang w:bidi="ar"/>
              </w:rPr>
              <w:br w:type="textWrapping"/>
            </w:r>
            <w:r>
              <w:rPr>
                <w:color w:val="000000"/>
                <w:kern w:val="0"/>
                <w:sz w:val="20"/>
                <w:szCs w:val="20"/>
                <w:lang w:bidi="ar"/>
              </w:rPr>
              <w:t>DA002 排气筒监测口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14450</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1.3</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0.019</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10</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14599</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1.2</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0.018</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752" w:type="dxa"/>
            <w:vMerge w:val="continue"/>
            <w:vAlign w:val="center"/>
          </w:tcPr>
          <w:p>
            <w:pPr>
              <w:widowControl/>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exact"/>
              <w:ind w:firstLine="0" w:firstLineChars="0"/>
              <w:jc w:val="center"/>
              <w:textAlignment w:val="center"/>
              <w:rPr>
                <w:color w:val="000000"/>
                <w:kern w:val="0"/>
                <w:sz w:val="20"/>
                <w:szCs w:val="20"/>
                <w:lang w:bidi="ar"/>
              </w:rPr>
            </w:pPr>
            <w:r>
              <w:rPr>
                <w:color w:val="000000"/>
                <w:kern w:val="0"/>
                <w:sz w:val="20"/>
                <w:szCs w:val="20"/>
                <w:lang w:bidi="ar"/>
              </w:rPr>
              <w:t>14672</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1.2</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0.018</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采样日期</w:t>
            </w:r>
          </w:p>
        </w:tc>
        <w:tc>
          <w:tcPr>
            <w:tcW w:w="837"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w:t>
            </w:r>
          </w:p>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点位</w:t>
            </w:r>
          </w:p>
        </w:tc>
        <w:tc>
          <w:tcPr>
            <w:tcW w:w="1025"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检测项目</w:t>
            </w:r>
          </w:p>
        </w:tc>
        <w:tc>
          <w:tcPr>
            <w:tcW w:w="950"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w:t>
            </w:r>
          </w:p>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频次</w:t>
            </w:r>
          </w:p>
        </w:tc>
        <w:tc>
          <w:tcPr>
            <w:tcW w:w="1175"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标干流</w:t>
            </w:r>
          </w:p>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量(m³/h)</w:t>
            </w:r>
          </w:p>
        </w:tc>
        <w:tc>
          <w:tcPr>
            <w:tcW w:w="1063"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浓度（</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w:t>
            </w:r>
          </w:p>
        </w:tc>
        <w:tc>
          <w:tcPr>
            <w:tcW w:w="1037"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排放速率</w:t>
            </w:r>
          </w:p>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w:t>
            </w:r>
            <w:r>
              <w:rPr>
                <w:rFonts w:ascii="宋体" w:hAnsi="宋体" w:cs="宋体"/>
                <w:color w:val="000000"/>
                <w:kern w:val="0"/>
                <w:sz w:val="20"/>
                <w:szCs w:val="20"/>
                <w:lang w:bidi="ar"/>
              </w:rPr>
              <w:t>kg/h</w:t>
            </w:r>
            <w:r>
              <w:rPr>
                <w:rFonts w:hint="eastAsia" w:ascii="宋体" w:hAnsi="宋体" w:cs="宋体"/>
                <w:color w:val="000000"/>
                <w:kern w:val="0"/>
                <w:sz w:val="20"/>
                <w:szCs w:val="20"/>
                <w:lang w:bidi="ar"/>
              </w:rPr>
              <w:t>）</w:t>
            </w:r>
          </w:p>
        </w:tc>
        <w:tc>
          <w:tcPr>
            <w:tcW w:w="2013" w:type="dxa"/>
            <w:gridSpan w:val="2"/>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blHeader/>
        </w:trPr>
        <w:tc>
          <w:tcPr>
            <w:tcW w:w="752"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837"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25"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950"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175"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63"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37" w:type="dxa"/>
            <w:vMerge w:val="continue"/>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p>
        </w:tc>
        <w:tc>
          <w:tcPr>
            <w:tcW w:w="1038" w:type="dxa"/>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浓度（</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w:t>
            </w:r>
          </w:p>
        </w:tc>
        <w:tc>
          <w:tcPr>
            <w:tcW w:w="975" w:type="dxa"/>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速率（</w:t>
            </w:r>
            <w:r>
              <w:rPr>
                <w:rFonts w:ascii="宋体" w:hAnsi="宋体" w:cs="宋体"/>
                <w:color w:val="000000"/>
                <w:kern w:val="0"/>
                <w:sz w:val="20"/>
                <w:szCs w:val="20"/>
                <w:lang w:bidi="ar"/>
              </w:rPr>
              <w:t>kg/h</w:t>
            </w:r>
            <w:r>
              <w:rPr>
                <w:rFonts w:hint="eastAsia" w:ascii="宋体" w:hAnsi="宋体" w:cs="宋体"/>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restart"/>
            <w:vAlign w:val="center"/>
          </w:tcPr>
          <w:p>
            <w:pPr>
              <w:widowControl/>
              <w:spacing w:line="240" w:lineRule="auto"/>
              <w:ind w:firstLine="0" w:firstLineChars="0"/>
              <w:jc w:val="center"/>
              <w:textAlignment w:val="center"/>
              <w:rPr>
                <w:highlight w:val="red"/>
              </w:rPr>
            </w:pPr>
            <w:r>
              <w:rPr>
                <w:rFonts w:hint="eastAsia"/>
                <w:color w:val="000000"/>
                <w:kern w:val="0"/>
                <w:sz w:val="20"/>
                <w:szCs w:val="20"/>
                <w:lang w:bidi="ar"/>
              </w:rPr>
              <w:t>2023-12-14</w:t>
            </w: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喷漆固化排气筒 DA003 处理前监测口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VOCs（以非甲烷总烃计）</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8623</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159</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8752</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9008</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8979</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147</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8844</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8830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8684</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153</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8930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8981</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8623</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23</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8752</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9008</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8979</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0.22</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8844</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8830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8684</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0.22</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8930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8981</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喷漆固化排气筒 DA003 排气筒监测口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VOCs（以非甲烷总烃计）</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9348</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1.65</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70</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spacing w:line="240" w:lineRule="auto"/>
              <w:ind w:firstLine="0" w:firstLineChars="0"/>
              <w:jc w:val="center"/>
              <w:rPr>
                <w:highlight w:val="red"/>
              </w:rPr>
            </w:pPr>
          </w:p>
        </w:tc>
        <w:tc>
          <w:tcPr>
            <w:tcW w:w="1025" w:type="dxa"/>
            <w:vMerge w:val="continue"/>
            <w:vAlign w:val="center"/>
          </w:tcPr>
          <w:p>
            <w:pPr>
              <w:spacing w:line="240" w:lineRule="auto"/>
              <w:ind w:firstLine="0" w:firstLineChars="0"/>
              <w:jc w:val="center"/>
              <w:rPr>
                <w:highlight w:val="red"/>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9570</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1.58</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2" w:type="dxa"/>
            <w:vMerge w:val="continue"/>
            <w:vAlign w:val="center"/>
          </w:tcPr>
          <w:p>
            <w:pPr>
              <w:widowControl/>
              <w:spacing w:line="360" w:lineRule="exact"/>
              <w:ind w:firstLine="0" w:firstLineChars="0"/>
              <w:textAlignment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9366</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1.74</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0.016</w:t>
            </w:r>
          </w:p>
        </w:tc>
        <w:tc>
          <w:tcPr>
            <w:tcW w:w="1038"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70</w:t>
            </w:r>
          </w:p>
        </w:tc>
        <w:tc>
          <w:tcPr>
            <w:tcW w:w="975"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9348</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1.5</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0.014</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10</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9570</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1.4</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0.013</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9366</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1.6</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continue"/>
            <w:vAlign w:val="center"/>
          </w:tcPr>
          <w:p>
            <w:pPr>
              <w:pStyle w:val="33"/>
              <w:spacing w:line="240" w:lineRule="auto"/>
              <w:ind w:firstLine="0" w:firstLineChars="0"/>
              <w:jc w:val="center"/>
              <w:rPr>
                <w:highlight w:val="red"/>
              </w:rPr>
            </w:pPr>
          </w:p>
        </w:tc>
        <w:tc>
          <w:tcPr>
            <w:tcW w:w="975" w:type="dxa"/>
            <w:vMerge w:val="continue"/>
            <w:vAlign w:val="center"/>
          </w:tcPr>
          <w:p>
            <w:pPr>
              <w:pStyle w:val="33"/>
              <w:spacing w:line="240" w:lineRule="auto"/>
              <w:ind w:firstLine="0" w:firstLineChars="0"/>
              <w:jc w:val="center"/>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机加工排气筒DA001 处理前监测口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9092</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28</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0.26</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9299</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9285</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9154</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28</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0.26</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9242</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spacing w:line="240" w:lineRule="auto"/>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9245</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textAlignment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9376</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28</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0.26</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9094</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9385</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机加工排气筒DA001 排气筒监测口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9916</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1.4</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0.014</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10</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9934</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1.5</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10006</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1.5</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0.015</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restart"/>
            <w:vAlign w:val="center"/>
          </w:tcPr>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采样日期</w:t>
            </w:r>
          </w:p>
        </w:tc>
        <w:tc>
          <w:tcPr>
            <w:tcW w:w="837"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w:t>
            </w:r>
          </w:p>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点位</w:t>
            </w:r>
          </w:p>
        </w:tc>
        <w:tc>
          <w:tcPr>
            <w:tcW w:w="1025" w:type="dxa"/>
            <w:vMerge w:val="restart"/>
            <w:vAlign w:val="center"/>
          </w:tcPr>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检测项目</w:t>
            </w:r>
          </w:p>
        </w:tc>
        <w:tc>
          <w:tcPr>
            <w:tcW w:w="950"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w:t>
            </w:r>
          </w:p>
          <w:p>
            <w:pPr>
              <w:widowControl/>
              <w:spacing w:line="300" w:lineRule="exact"/>
              <w:ind w:firstLine="0" w:firstLineChars="0"/>
              <w:jc w:val="center"/>
              <w:textAlignment w:val="center"/>
              <w:rPr>
                <w:highlight w:val="red"/>
              </w:rPr>
            </w:pPr>
            <w:r>
              <w:rPr>
                <w:rFonts w:ascii="宋体" w:hAnsi="宋体" w:cs="宋体"/>
                <w:color w:val="000000"/>
                <w:kern w:val="0"/>
                <w:sz w:val="20"/>
                <w:szCs w:val="20"/>
                <w:lang w:bidi="ar"/>
              </w:rPr>
              <w:t>频次</w:t>
            </w:r>
          </w:p>
        </w:tc>
        <w:tc>
          <w:tcPr>
            <w:tcW w:w="1175"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标干流</w:t>
            </w:r>
          </w:p>
          <w:p>
            <w:pPr>
              <w:widowControl/>
              <w:spacing w:line="300" w:lineRule="exact"/>
              <w:ind w:firstLine="0" w:firstLineChars="0"/>
              <w:jc w:val="center"/>
              <w:textAlignment w:val="center"/>
              <w:rPr>
                <w:color w:val="000000"/>
                <w:kern w:val="0"/>
                <w:sz w:val="20"/>
                <w:szCs w:val="20"/>
                <w:lang w:bidi="ar"/>
              </w:rPr>
            </w:pPr>
            <w:r>
              <w:rPr>
                <w:rFonts w:ascii="宋体" w:hAnsi="宋体" w:cs="宋体"/>
                <w:color w:val="000000"/>
                <w:kern w:val="0"/>
                <w:sz w:val="20"/>
                <w:szCs w:val="20"/>
                <w:lang w:bidi="ar"/>
              </w:rPr>
              <w:t>量(m³/h)</w:t>
            </w:r>
          </w:p>
        </w:tc>
        <w:tc>
          <w:tcPr>
            <w:tcW w:w="1063"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平均值</w:t>
            </w:r>
          </w:p>
          <w:p>
            <w:pPr>
              <w:widowControl/>
              <w:spacing w:line="300" w:lineRule="exact"/>
              <w:ind w:firstLine="0" w:firstLineChars="0"/>
              <w:jc w:val="center"/>
              <w:textAlignment w:val="center"/>
              <w:rPr>
                <w:highlight w:val="red"/>
              </w:rPr>
            </w:pPr>
            <w:r>
              <w:rPr>
                <w:rFonts w:hint="eastAsia" w:ascii="宋体" w:hAnsi="宋体" w:cs="宋体"/>
                <w:color w:val="000000"/>
                <w:kern w:val="0"/>
                <w:sz w:val="20"/>
                <w:szCs w:val="20"/>
                <w:lang w:bidi="ar"/>
              </w:rPr>
              <w:t>（</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w:t>
            </w:r>
          </w:p>
        </w:tc>
        <w:tc>
          <w:tcPr>
            <w:tcW w:w="1037" w:type="dxa"/>
            <w:vMerge w:val="restart"/>
            <w:vAlign w:val="center"/>
          </w:tcPr>
          <w:p>
            <w:pPr>
              <w:widowControl/>
              <w:spacing w:line="300" w:lineRule="exact"/>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排放速率</w:t>
            </w:r>
          </w:p>
          <w:p>
            <w:pPr>
              <w:widowControl/>
              <w:spacing w:line="300" w:lineRule="exact"/>
              <w:ind w:firstLine="0" w:firstLineChars="0"/>
              <w:jc w:val="center"/>
              <w:textAlignment w:val="center"/>
              <w:rPr>
                <w:highlight w:val="red"/>
              </w:rPr>
            </w:pPr>
            <w:r>
              <w:rPr>
                <w:rFonts w:hint="eastAsia" w:ascii="宋体" w:hAnsi="宋体" w:cs="宋体"/>
                <w:color w:val="000000"/>
                <w:kern w:val="0"/>
                <w:sz w:val="20"/>
                <w:szCs w:val="20"/>
                <w:lang w:bidi="ar"/>
              </w:rPr>
              <w:t>（</w:t>
            </w:r>
            <w:r>
              <w:rPr>
                <w:rFonts w:ascii="宋体" w:hAnsi="宋体" w:cs="宋体"/>
                <w:color w:val="000000"/>
                <w:kern w:val="0"/>
                <w:sz w:val="20"/>
                <w:szCs w:val="20"/>
                <w:lang w:bidi="ar"/>
              </w:rPr>
              <w:t>kg/h</w:t>
            </w:r>
            <w:r>
              <w:rPr>
                <w:rFonts w:hint="eastAsia" w:ascii="宋体" w:hAnsi="宋体" w:cs="宋体"/>
                <w:color w:val="000000"/>
                <w:kern w:val="0"/>
                <w:sz w:val="20"/>
                <w:szCs w:val="20"/>
                <w:lang w:bidi="ar"/>
              </w:rPr>
              <w:t>）</w:t>
            </w:r>
          </w:p>
        </w:tc>
        <w:tc>
          <w:tcPr>
            <w:tcW w:w="2013" w:type="dxa"/>
            <w:gridSpan w:val="2"/>
            <w:vAlign w:val="center"/>
          </w:tcPr>
          <w:p>
            <w:pPr>
              <w:widowControl/>
              <w:spacing w:line="300" w:lineRule="exact"/>
              <w:ind w:firstLine="0" w:firstLineChars="0"/>
              <w:jc w:val="center"/>
              <w:textAlignment w:val="center"/>
              <w:rPr>
                <w:color w:val="000000"/>
                <w:kern w:val="0"/>
                <w:sz w:val="20"/>
                <w:szCs w:val="20"/>
                <w:lang w:bidi="ar"/>
              </w:rPr>
            </w:pPr>
            <w:r>
              <w:rPr>
                <w:rFonts w:hint="eastAsia" w:ascii="宋体" w:hAnsi="宋体" w:cs="宋体"/>
                <w:color w:val="000000"/>
                <w:kern w:val="0"/>
                <w:sz w:val="20"/>
                <w:szCs w:val="20"/>
                <w:lang w:bidi="ar"/>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blHeader/>
        </w:trPr>
        <w:tc>
          <w:tcPr>
            <w:tcW w:w="752" w:type="dxa"/>
            <w:vMerge w:val="continue"/>
            <w:vAlign w:val="center"/>
          </w:tcPr>
          <w:p>
            <w:pPr>
              <w:widowControl/>
              <w:spacing w:line="300" w:lineRule="exact"/>
              <w:ind w:firstLine="0" w:firstLineChars="0"/>
              <w:jc w:val="center"/>
              <w:rPr>
                <w:highlight w:val="red"/>
              </w:rPr>
            </w:pPr>
          </w:p>
        </w:tc>
        <w:tc>
          <w:tcPr>
            <w:tcW w:w="837" w:type="dxa"/>
            <w:vMerge w:val="continue"/>
            <w:vAlign w:val="center"/>
          </w:tcPr>
          <w:p>
            <w:pPr>
              <w:widowControl/>
              <w:spacing w:line="300" w:lineRule="exact"/>
              <w:ind w:firstLine="0" w:firstLineChars="0"/>
              <w:jc w:val="center"/>
              <w:textAlignment w:val="center"/>
              <w:rPr>
                <w:color w:val="000000"/>
                <w:kern w:val="0"/>
                <w:sz w:val="20"/>
                <w:szCs w:val="20"/>
                <w:lang w:bidi="ar"/>
              </w:rPr>
            </w:pPr>
          </w:p>
        </w:tc>
        <w:tc>
          <w:tcPr>
            <w:tcW w:w="1025" w:type="dxa"/>
            <w:vMerge w:val="continue"/>
            <w:vAlign w:val="center"/>
          </w:tcPr>
          <w:p>
            <w:pPr>
              <w:widowControl/>
              <w:spacing w:line="300" w:lineRule="exact"/>
              <w:ind w:firstLine="0" w:firstLineChars="0"/>
              <w:jc w:val="center"/>
              <w:textAlignment w:val="center"/>
              <w:rPr>
                <w:color w:val="000000"/>
                <w:kern w:val="0"/>
                <w:sz w:val="20"/>
                <w:szCs w:val="20"/>
                <w:lang w:bidi="ar"/>
              </w:rPr>
            </w:pPr>
          </w:p>
        </w:tc>
        <w:tc>
          <w:tcPr>
            <w:tcW w:w="950" w:type="dxa"/>
            <w:vMerge w:val="continue"/>
            <w:vAlign w:val="center"/>
          </w:tcPr>
          <w:p>
            <w:pPr>
              <w:widowControl/>
              <w:spacing w:line="300" w:lineRule="exact"/>
              <w:ind w:firstLine="0" w:firstLineChars="0"/>
              <w:jc w:val="center"/>
              <w:textAlignment w:val="center"/>
              <w:rPr>
                <w:color w:val="000000"/>
                <w:kern w:val="0"/>
                <w:sz w:val="20"/>
                <w:szCs w:val="20"/>
                <w:lang w:bidi="ar"/>
              </w:rPr>
            </w:pPr>
          </w:p>
        </w:tc>
        <w:tc>
          <w:tcPr>
            <w:tcW w:w="1175" w:type="dxa"/>
            <w:vMerge w:val="continue"/>
            <w:vAlign w:val="center"/>
          </w:tcPr>
          <w:p>
            <w:pPr>
              <w:widowControl/>
              <w:spacing w:line="300" w:lineRule="exact"/>
              <w:ind w:firstLine="0" w:firstLineChars="0"/>
              <w:jc w:val="center"/>
              <w:textAlignment w:val="center"/>
              <w:rPr>
                <w:color w:val="000000"/>
                <w:kern w:val="0"/>
                <w:sz w:val="20"/>
                <w:szCs w:val="20"/>
                <w:lang w:bidi="ar"/>
              </w:rPr>
            </w:pPr>
          </w:p>
        </w:tc>
        <w:tc>
          <w:tcPr>
            <w:tcW w:w="1063" w:type="dxa"/>
            <w:vMerge w:val="continue"/>
            <w:vAlign w:val="center"/>
          </w:tcPr>
          <w:p>
            <w:pPr>
              <w:widowControl/>
              <w:spacing w:line="300" w:lineRule="exact"/>
              <w:ind w:firstLine="0" w:firstLineChars="0"/>
              <w:jc w:val="center"/>
              <w:textAlignment w:val="center"/>
              <w:rPr>
                <w:color w:val="000000"/>
                <w:kern w:val="0"/>
                <w:sz w:val="20"/>
                <w:szCs w:val="20"/>
                <w:lang w:bidi="ar"/>
              </w:rPr>
            </w:pPr>
          </w:p>
        </w:tc>
        <w:tc>
          <w:tcPr>
            <w:tcW w:w="1037" w:type="dxa"/>
            <w:vMerge w:val="continue"/>
            <w:vAlign w:val="center"/>
          </w:tcPr>
          <w:p>
            <w:pPr>
              <w:widowControl/>
              <w:spacing w:line="300" w:lineRule="exact"/>
              <w:ind w:firstLine="0" w:firstLineChars="0"/>
              <w:jc w:val="center"/>
              <w:textAlignment w:val="center"/>
              <w:rPr>
                <w:color w:val="000000"/>
                <w:kern w:val="0"/>
                <w:sz w:val="20"/>
                <w:szCs w:val="20"/>
                <w:lang w:bidi="ar"/>
              </w:rPr>
            </w:pPr>
          </w:p>
        </w:tc>
        <w:tc>
          <w:tcPr>
            <w:tcW w:w="1038" w:type="dxa"/>
            <w:vAlign w:val="center"/>
          </w:tcPr>
          <w:p>
            <w:pPr>
              <w:widowControl/>
              <w:spacing w:line="300" w:lineRule="exact"/>
              <w:ind w:firstLine="0" w:firstLineChars="0"/>
              <w:jc w:val="center"/>
              <w:textAlignment w:val="center"/>
            </w:pPr>
            <w:r>
              <w:rPr>
                <w:rFonts w:hint="eastAsia" w:ascii="宋体" w:hAnsi="宋体" w:cs="宋体"/>
                <w:color w:val="000000"/>
                <w:kern w:val="0"/>
                <w:sz w:val="20"/>
                <w:szCs w:val="20"/>
                <w:lang w:bidi="ar"/>
              </w:rPr>
              <w:t>浓度（</w:t>
            </w:r>
            <w:r>
              <w:rPr>
                <w:rFonts w:ascii="宋体" w:hAnsi="宋体" w:cs="宋体"/>
                <w:color w:val="000000"/>
                <w:kern w:val="0"/>
                <w:sz w:val="20"/>
                <w:szCs w:val="20"/>
                <w:lang w:bidi="ar"/>
              </w:rPr>
              <w:t>mg/m³</w:t>
            </w:r>
            <w:r>
              <w:rPr>
                <w:rFonts w:hint="eastAsia" w:ascii="宋体" w:hAnsi="宋体" w:cs="宋体"/>
                <w:color w:val="000000"/>
                <w:kern w:val="0"/>
                <w:sz w:val="20"/>
                <w:szCs w:val="20"/>
                <w:lang w:bidi="ar"/>
              </w:rPr>
              <w:t>）</w:t>
            </w:r>
          </w:p>
        </w:tc>
        <w:tc>
          <w:tcPr>
            <w:tcW w:w="975" w:type="dxa"/>
            <w:vAlign w:val="center"/>
          </w:tcPr>
          <w:p>
            <w:pPr>
              <w:widowControl/>
              <w:spacing w:line="300" w:lineRule="exact"/>
              <w:ind w:firstLine="0" w:firstLineChars="0"/>
              <w:jc w:val="center"/>
              <w:textAlignment w:val="center"/>
            </w:pPr>
            <w:r>
              <w:rPr>
                <w:rFonts w:hint="eastAsia" w:ascii="宋体" w:hAnsi="宋体" w:cs="宋体"/>
                <w:color w:val="000000"/>
                <w:kern w:val="0"/>
                <w:sz w:val="20"/>
                <w:szCs w:val="20"/>
                <w:lang w:bidi="ar"/>
              </w:rPr>
              <w:t>速率（</w:t>
            </w:r>
            <w:r>
              <w:rPr>
                <w:rFonts w:ascii="宋体" w:hAnsi="宋体" w:cs="宋体"/>
                <w:color w:val="000000"/>
                <w:kern w:val="0"/>
                <w:sz w:val="20"/>
                <w:szCs w:val="20"/>
                <w:lang w:bidi="ar"/>
              </w:rPr>
              <w:t>kg/h</w:t>
            </w:r>
            <w:r>
              <w:rPr>
                <w:rFonts w:hint="eastAsia" w:ascii="宋体" w:hAnsi="宋体" w:cs="宋体"/>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restart"/>
            <w:vAlign w:val="center"/>
          </w:tcPr>
          <w:p>
            <w:pPr>
              <w:widowControl/>
              <w:spacing w:line="360" w:lineRule="exact"/>
              <w:ind w:firstLine="0" w:firstLineChars="0"/>
              <w:jc w:val="center"/>
              <w:textAlignment w:val="center"/>
              <w:rPr>
                <w:highlight w:val="red"/>
              </w:rPr>
            </w:pPr>
            <w:r>
              <w:rPr>
                <w:color w:val="000000"/>
                <w:kern w:val="0"/>
                <w:sz w:val="20"/>
                <w:szCs w:val="20"/>
                <w:lang w:bidi="ar"/>
              </w:rPr>
              <w:t>2023- 12- 15</w:t>
            </w: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喷塑排气筒</w:t>
            </w:r>
            <w:r>
              <w:rPr>
                <w:color w:val="000000"/>
                <w:kern w:val="0"/>
                <w:sz w:val="20"/>
                <w:szCs w:val="20"/>
                <w:lang w:bidi="ar"/>
              </w:rPr>
              <w:br w:type="textWrapping"/>
            </w:r>
            <w:r>
              <w:rPr>
                <w:color w:val="000000"/>
                <w:kern w:val="0"/>
                <w:sz w:val="20"/>
                <w:szCs w:val="20"/>
                <w:lang w:bidi="ar"/>
              </w:rPr>
              <w:t>DA002 处理前监测口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13315</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0.33</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360" w:lineRule="exact"/>
              <w:ind w:firstLine="0" w:firstLineChars="0"/>
              <w:jc w:val="center"/>
              <w:rPr>
                <w:highlight w:val="red"/>
              </w:rPr>
            </w:pPr>
          </w:p>
        </w:tc>
        <w:tc>
          <w:tcPr>
            <w:tcW w:w="1025" w:type="dxa"/>
            <w:vMerge w:val="continue"/>
            <w:vAlign w:val="center"/>
          </w:tcPr>
          <w:p>
            <w:pPr>
              <w:widowControl/>
              <w:spacing w:line="360" w:lineRule="exact"/>
              <w:ind w:firstLine="0" w:firstLineChars="0"/>
              <w:jc w:val="center"/>
              <w:rPr>
                <w:highlight w:val="red"/>
              </w:rPr>
            </w:pPr>
          </w:p>
        </w:tc>
        <w:tc>
          <w:tcPr>
            <w:tcW w:w="950" w:type="dxa"/>
            <w:vMerge w:val="continue"/>
            <w:vAlign w:val="center"/>
          </w:tcPr>
          <w:p>
            <w:pPr>
              <w:widowControl/>
              <w:spacing w:line="360" w:lineRule="exact"/>
              <w:ind w:firstLine="0" w:firstLineChars="0"/>
              <w:jc w:val="center"/>
              <w:rPr>
                <w:highlight w:val="red"/>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13318</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pStyle w:val="33"/>
              <w:widowControl/>
              <w:adjustRightInd/>
              <w:snapToGrid/>
              <w:spacing w:line="360" w:lineRule="exact"/>
              <w:ind w:firstLine="0" w:firstLineChars="0"/>
              <w:jc w:val="center"/>
            </w:pPr>
          </w:p>
        </w:tc>
        <w:tc>
          <w:tcPr>
            <w:tcW w:w="975" w:type="dxa"/>
            <w:vMerge w:val="continue"/>
            <w:vAlign w:val="center"/>
          </w:tcPr>
          <w:p>
            <w:pPr>
              <w:pStyle w:val="33"/>
              <w:widowControl/>
              <w:adjustRightInd/>
              <w:snapToGrid/>
              <w:spacing w:line="360" w:lineRule="exact"/>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360" w:lineRule="exact"/>
              <w:ind w:firstLine="0" w:firstLineChars="0"/>
              <w:jc w:val="center"/>
              <w:rPr>
                <w:highlight w:val="red"/>
              </w:rPr>
            </w:pPr>
          </w:p>
        </w:tc>
        <w:tc>
          <w:tcPr>
            <w:tcW w:w="1025" w:type="dxa"/>
            <w:vMerge w:val="continue"/>
            <w:vAlign w:val="center"/>
          </w:tcPr>
          <w:p>
            <w:pPr>
              <w:widowControl/>
              <w:spacing w:line="360" w:lineRule="exact"/>
              <w:ind w:firstLine="0" w:firstLineChars="0"/>
              <w:jc w:val="center"/>
              <w:rPr>
                <w:highlight w:val="red"/>
              </w:rPr>
            </w:pPr>
          </w:p>
        </w:tc>
        <w:tc>
          <w:tcPr>
            <w:tcW w:w="950" w:type="dxa"/>
            <w:vMerge w:val="continue"/>
            <w:vAlign w:val="center"/>
          </w:tcPr>
          <w:p>
            <w:pPr>
              <w:widowControl/>
              <w:spacing w:line="360" w:lineRule="exact"/>
              <w:ind w:firstLine="0" w:firstLineChars="0"/>
              <w:jc w:val="center"/>
              <w:rPr>
                <w:highlight w:val="red"/>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13112</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pStyle w:val="33"/>
              <w:widowControl/>
              <w:adjustRightInd/>
              <w:snapToGrid/>
              <w:spacing w:line="360" w:lineRule="exact"/>
              <w:ind w:firstLine="0" w:firstLineChars="0"/>
              <w:jc w:val="center"/>
            </w:pPr>
          </w:p>
        </w:tc>
        <w:tc>
          <w:tcPr>
            <w:tcW w:w="975" w:type="dxa"/>
            <w:vMerge w:val="continue"/>
            <w:vAlign w:val="center"/>
          </w:tcPr>
          <w:p>
            <w:pPr>
              <w:pStyle w:val="33"/>
              <w:widowControl/>
              <w:adjustRightInd/>
              <w:snapToGrid/>
              <w:spacing w:line="360" w:lineRule="exact"/>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360" w:lineRule="exact"/>
              <w:ind w:firstLine="0" w:firstLineChars="0"/>
              <w:jc w:val="center"/>
              <w:rPr>
                <w:highlight w:val="red"/>
              </w:rPr>
            </w:pPr>
          </w:p>
        </w:tc>
        <w:tc>
          <w:tcPr>
            <w:tcW w:w="1025" w:type="dxa"/>
            <w:vMerge w:val="continue"/>
            <w:vAlign w:val="center"/>
          </w:tcPr>
          <w:p>
            <w:pPr>
              <w:widowControl/>
              <w:spacing w:line="360" w:lineRule="exact"/>
              <w:ind w:firstLine="0" w:firstLineChars="0"/>
              <w:jc w:val="center"/>
              <w:rPr>
                <w:highlight w:val="red"/>
              </w:rPr>
            </w:pPr>
          </w:p>
        </w:tc>
        <w:tc>
          <w:tcPr>
            <w:tcW w:w="950" w:type="dxa"/>
            <w:vMerge w:val="restart"/>
            <w:vAlign w:val="center"/>
          </w:tcPr>
          <w:p>
            <w:pPr>
              <w:widowControl/>
              <w:spacing w:line="360" w:lineRule="exact"/>
              <w:ind w:firstLine="0" w:firstLineChars="0"/>
              <w:jc w:val="center"/>
              <w:textAlignment w:val="center"/>
              <w:rPr>
                <w:highlight w:val="red"/>
              </w:rPr>
            </w:pPr>
            <w:r>
              <w:rPr>
                <w:rFonts w:ascii="宋体" w:hAnsi="宋体" w:cs="宋体"/>
                <w:color w:val="000000"/>
                <w:kern w:val="0"/>
                <w:sz w:val="20"/>
                <w:szCs w:val="20"/>
                <w:lang w:bidi="ar"/>
              </w:rPr>
              <w:t xml:space="preserve">第 </w:t>
            </w:r>
            <w:r>
              <w:rPr>
                <w:color w:val="000000"/>
                <w:kern w:val="0"/>
                <w:sz w:val="20"/>
                <w:szCs w:val="20"/>
                <w:lang w:bidi="ar"/>
              </w:rPr>
              <w:t xml:space="preserve">2 </w:t>
            </w:r>
            <w:r>
              <w:rPr>
                <w:rFonts w:ascii="宋体" w:hAnsi="宋体" w:cs="宋体"/>
                <w:color w:val="000000"/>
                <w:kern w:val="0"/>
                <w:sz w:val="20"/>
                <w:szCs w:val="20"/>
                <w:lang w:bidi="ar"/>
              </w:rPr>
              <w:t>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13188</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0.32</w:t>
            </w:r>
          </w:p>
        </w:tc>
        <w:tc>
          <w:tcPr>
            <w:tcW w:w="1038" w:type="dxa"/>
            <w:vMerge w:val="continue"/>
            <w:vAlign w:val="center"/>
          </w:tcPr>
          <w:p>
            <w:pPr>
              <w:pStyle w:val="33"/>
              <w:widowControl/>
              <w:adjustRightInd/>
              <w:snapToGrid/>
              <w:spacing w:line="360" w:lineRule="exact"/>
              <w:ind w:firstLine="0" w:firstLineChars="0"/>
              <w:jc w:val="center"/>
            </w:pPr>
          </w:p>
        </w:tc>
        <w:tc>
          <w:tcPr>
            <w:tcW w:w="975" w:type="dxa"/>
            <w:vMerge w:val="continue"/>
            <w:vAlign w:val="center"/>
          </w:tcPr>
          <w:p>
            <w:pPr>
              <w:pStyle w:val="33"/>
              <w:widowControl/>
              <w:adjustRightInd/>
              <w:snapToGrid/>
              <w:spacing w:line="360" w:lineRule="exact"/>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360" w:lineRule="exact"/>
              <w:ind w:firstLine="0" w:firstLineChars="0"/>
              <w:jc w:val="center"/>
              <w:rPr>
                <w:highlight w:val="red"/>
              </w:rPr>
            </w:pPr>
          </w:p>
        </w:tc>
        <w:tc>
          <w:tcPr>
            <w:tcW w:w="1025" w:type="dxa"/>
            <w:vMerge w:val="continue"/>
            <w:vAlign w:val="center"/>
          </w:tcPr>
          <w:p>
            <w:pPr>
              <w:widowControl/>
              <w:spacing w:line="360" w:lineRule="exact"/>
              <w:ind w:firstLine="0" w:firstLineChars="0"/>
              <w:jc w:val="center"/>
              <w:rPr>
                <w:highlight w:val="red"/>
              </w:rPr>
            </w:pPr>
          </w:p>
        </w:tc>
        <w:tc>
          <w:tcPr>
            <w:tcW w:w="950" w:type="dxa"/>
            <w:vMerge w:val="continue"/>
            <w:vAlign w:val="center"/>
          </w:tcPr>
          <w:p>
            <w:pPr>
              <w:widowControl/>
              <w:spacing w:line="360" w:lineRule="exact"/>
              <w:ind w:firstLine="0" w:firstLineChars="0"/>
              <w:jc w:val="center"/>
              <w:rPr>
                <w:highlight w:val="red"/>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13387</w:t>
            </w:r>
          </w:p>
        </w:tc>
        <w:tc>
          <w:tcPr>
            <w:tcW w:w="1063" w:type="dxa"/>
            <w:vMerge w:val="continue"/>
            <w:vAlign w:val="center"/>
          </w:tcPr>
          <w:p>
            <w:pPr>
              <w:widowControl/>
              <w:spacing w:line="360" w:lineRule="exact"/>
              <w:ind w:firstLine="0" w:firstLineChars="0"/>
              <w:jc w:val="center"/>
              <w:rPr>
                <w:highlight w:val="red"/>
              </w:rPr>
            </w:pPr>
          </w:p>
        </w:tc>
        <w:tc>
          <w:tcPr>
            <w:tcW w:w="1037" w:type="dxa"/>
            <w:vMerge w:val="continue"/>
            <w:vAlign w:val="center"/>
          </w:tcPr>
          <w:p>
            <w:pPr>
              <w:widowControl/>
              <w:spacing w:line="360" w:lineRule="exact"/>
              <w:ind w:firstLine="0" w:firstLineChars="0"/>
              <w:jc w:val="center"/>
              <w:rPr>
                <w:highlight w:val="red"/>
              </w:rPr>
            </w:pPr>
          </w:p>
        </w:tc>
        <w:tc>
          <w:tcPr>
            <w:tcW w:w="1038" w:type="dxa"/>
            <w:vMerge w:val="continue"/>
            <w:vAlign w:val="center"/>
          </w:tcPr>
          <w:p>
            <w:pPr>
              <w:pStyle w:val="33"/>
              <w:widowControl/>
              <w:adjustRightInd/>
              <w:snapToGrid/>
              <w:spacing w:line="360" w:lineRule="exact"/>
              <w:ind w:firstLine="0" w:firstLineChars="0"/>
              <w:jc w:val="center"/>
            </w:pPr>
          </w:p>
        </w:tc>
        <w:tc>
          <w:tcPr>
            <w:tcW w:w="975" w:type="dxa"/>
            <w:vMerge w:val="continue"/>
            <w:vAlign w:val="center"/>
          </w:tcPr>
          <w:p>
            <w:pPr>
              <w:pStyle w:val="33"/>
              <w:widowControl/>
              <w:adjustRightInd/>
              <w:snapToGrid/>
              <w:spacing w:line="360" w:lineRule="exact"/>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rPr>
                <w:highlight w:val="red"/>
              </w:rPr>
            </w:pPr>
          </w:p>
        </w:tc>
        <w:tc>
          <w:tcPr>
            <w:tcW w:w="837" w:type="dxa"/>
            <w:vMerge w:val="continue"/>
            <w:vAlign w:val="center"/>
          </w:tcPr>
          <w:p>
            <w:pPr>
              <w:widowControl/>
              <w:spacing w:line="360" w:lineRule="exact"/>
              <w:ind w:firstLine="0" w:firstLineChars="0"/>
              <w:jc w:val="center"/>
              <w:rPr>
                <w:highlight w:val="red"/>
              </w:rPr>
            </w:pPr>
          </w:p>
        </w:tc>
        <w:tc>
          <w:tcPr>
            <w:tcW w:w="1025" w:type="dxa"/>
            <w:vMerge w:val="continue"/>
            <w:vAlign w:val="center"/>
          </w:tcPr>
          <w:p>
            <w:pPr>
              <w:widowControl/>
              <w:spacing w:line="360" w:lineRule="exact"/>
              <w:ind w:firstLine="0" w:firstLineChars="0"/>
              <w:jc w:val="center"/>
              <w:rPr>
                <w:highlight w:val="red"/>
              </w:rPr>
            </w:pPr>
          </w:p>
        </w:tc>
        <w:tc>
          <w:tcPr>
            <w:tcW w:w="950" w:type="dxa"/>
            <w:vMerge w:val="continue"/>
            <w:vAlign w:val="center"/>
          </w:tcPr>
          <w:p>
            <w:pPr>
              <w:widowControl/>
              <w:spacing w:line="360" w:lineRule="exact"/>
              <w:ind w:firstLine="0" w:firstLineChars="0"/>
              <w:jc w:val="center"/>
              <w:rPr>
                <w:highlight w:val="red"/>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13081</w:t>
            </w:r>
          </w:p>
        </w:tc>
        <w:tc>
          <w:tcPr>
            <w:tcW w:w="1063" w:type="dxa"/>
            <w:vMerge w:val="continue"/>
            <w:vAlign w:val="center"/>
          </w:tcPr>
          <w:p>
            <w:pPr>
              <w:widowControl/>
              <w:spacing w:line="360" w:lineRule="exact"/>
              <w:ind w:firstLine="0" w:firstLineChars="0"/>
              <w:jc w:val="center"/>
              <w:rPr>
                <w:highlight w:val="red"/>
              </w:rPr>
            </w:pPr>
          </w:p>
        </w:tc>
        <w:tc>
          <w:tcPr>
            <w:tcW w:w="1037" w:type="dxa"/>
            <w:vMerge w:val="continue"/>
            <w:vAlign w:val="center"/>
          </w:tcPr>
          <w:p>
            <w:pPr>
              <w:widowControl/>
              <w:spacing w:line="360" w:lineRule="exact"/>
              <w:ind w:firstLine="0" w:firstLineChars="0"/>
              <w:jc w:val="center"/>
              <w:rPr>
                <w:highlight w:val="red"/>
              </w:rPr>
            </w:pPr>
          </w:p>
        </w:tc>
        <w:tc>
          <w:tcPr>
            <w:tcW w:w="1038" w:type="dxa"/>
            <w:vMerge w:val="continue"/>
            <w:vAlign w:val="center"/>
          </w:tcPr>
          <w:p>
            <w:pPr>
              <w:pStyle w:val="33"/>
              <w:widowControl/>
              <w:adjustRightInd/>
              <w:snapToGrid/>
              <w:spacing w:line="360" w:lineRule="exact"/>
              <w:ind w:firstLine="0" w:firstLineChars="0"/>
              <w:jc w:val="center"/>
            </w:pPr>
          </w:p>
        </w:tc>
        <w:tc>
          <w:tcPr>
            <w:tcW w:w="975" w:type="dxa"/>
            <w:vMerge w:val="continue"/>
            <w:vAlign w:val="center"/>
          </w:tcPr>
          <w:p>
            <w:pPr>
              <w:pStyle w:val="33"/>
              <w:widowControl/>
              <w:adjustRightInd/>
              <w:snapToGrid/>
              <w:spacing w:line="360" w:lineRule="exact"/>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13506</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0.32</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13420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13114</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喷塑排气筒</w:t>
            </w:r>
            <w:r>
              <w:rPr>
                <w:color w:val="000000"/>
                <w:kern w:val="0"/>
                <w:sz w:val="20"/>
                <w:szCs w:val="20"/>
                <w:lang w:bidi="ar"/>
              </w:rPr>
              <w:br w:type="textWrapping"/>
            </w:r>
            <w:r>
              <w:rPr>
                <w:color w:val="000000"/>
                <w:kern w:val="0"/>
                <w:sz w:val="20"/>
                <w:szCs w:val="20"/>
                <w:lang w:bidi="ar"/>
              </w:rPr>
              <w:t>DA002 排气筒监测口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颗粒物</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14174</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1.2</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0.017</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10</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14561</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1.2</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0.017</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14483</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1.3</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0.019</w:t>
            </w: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机加工排气筒DA001 处理前监测口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颗粒物</w:t>
            </w: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9068</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27</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0.25</w:t>
            </w:r>
          </w:p>
        </w:tc>
        <w:tc>
          <w:tcPr>
            <w:tcW w:w="1038"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c>
          <w:tcPr>
            <w:tcW w:w="97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9278</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9370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75" w:type="dxa"/>
            <w:vMerge w:val="continue"/>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9485</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27</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0.25</w:t>
            </w: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9381</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10</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9285</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9172</w:t>
            </w:r>
          </w:p>
        </w:tc>
        <w:tc>
          <w:tcPr>
            <w:tcW w:w="1063"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27</w:t>
            </w:r>
          </w:p>
        </w:tc>
        <w:tc>
          <w:tcPr>
            <w:tcW w:w="10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0.25</w:t>
            </w: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10</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9270</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8968</w:t>
            </w:r>
          </w:p>
        </w:tc>
        <w:tc>
          <w:tcPr>
            <w:tcW w:w="1063"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10</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restart"/>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机加工排气筒DA001 排气筒监测口</w:t>
            </w:r>
          </w:p>
        </w:tc>
        <w:tc>
          <w:tcPr>
            <w:tcW w:w="1025" w:type="dxa"/>
            <w:vMerge w:val="restart"/>
            <w:vAlign w:val="center"/>
          </w:tcPr>
          <w:p>
            <w:pPr>
              <w:widowControl/>
              <w:spacing w:line="240" w:lineRule="auto"/>
              <w:ind w:firstLine="0" w:firstLineChars="0"/>
              <w:jc w:val="center"/>
              <w:textAlignment w:val="center"/>
              <w:rPr>
                <w:color w:val="000000"/>
                <w:kern w:val="0"/>
                <w:sz w:val="20"/>
                <w:szCs w:val="20"/>
                <w:lang w:bidi="ar"/>
              </w:rPr>
            </w:pPr>
            <w:r>
              <w:rPr>
                <w:rFonts w:hint="eastAsia"/>
                <w:color w:val="000000"/>
                <w:kern w:val="0"/>
                <w:sz w:val="20"/>
                <w:szCs w:val="20"/>
                <w:lang w:bidi="ar"/>
              </w:rPr>
              <w:t>颗粒物</w:t>
            </w: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1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10002</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0.013</w:t>
            </w: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2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10096</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0.014</w:t>
            </w: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10</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blHeader/>
        </w:trPr>
        <w:tc>
          <w:tcPr>
            <w:tcW w:w="752" w:type="dxa"/>
            <w:vMerge w:val="continue"/>
            <w:vAlign w:val="center"/>
          </w:tcPr>
          <w:p>
            <w:pPr>
              <w:widowControl/>
              <w:spacing w:line="360" w:lineRule="exact"/>
              <w:ind w:firstLine="0" w:firstLineChars="0"/>
              <w:jc w:val="center"/>
              <w:textAlignment w:val="center"/>
              <w:rPr>
                <w:color w:val="000000"/>
                <w:kern w:val="0"/>
                <w:sz w:val="20"/>
                <w:szCs w:val="20"/>
                <w:lang w:bidi="ar"/>
              </w:rPr>
            </w:pPr>
          </w:p>
        </w:tc>
        <w:tc>
          <w:tcPr>
            <w:tcW w:w="837"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1025" w:type="dxa"/>
            <w:vMerge w:val="continue"/>
            <w:vAlign w:val="center"/>
          </w:tcPr>
          <w:p>
            <w:pPr>
              <w:widowControl/>
              <w:spacing w:line="240" w:lineRule="auto"/>
              <w:ind w:firstLine="0" w:firstLineChars="0"/>
              <w:jc w:val="center"/>
              <w:textAlignment w:val="center"/>
              <w:rPr>
                <w:color w:val="000000"/>
                <w:kern w:val="0"/>
                <w:sz w:val="20"/>
                <w:szCs w:val="20"/>
                <w:lang w:bidi="ar"/>
              </w:rPr>
            </w:pPr>
          </w:p>
        </w:tc>
        <w:tc>
          <w:tcPr>
            <w:tcW w:w="950"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第 3 次</w:t>
            </w:r>
          </w:p>
        </w:tc>
        <w:tc>
          <w:tcPr>
            <w:tcW w:w="1175"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9942</w:t>
            </w:r>
          </w:p>
        </w:tc>
        <w:tc>
          <w:tcPr>
            <w:tcW w:w="1063"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c>
          <w:tcPr>
            <w:tcW w:w="1037" w:type="dxa"/>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0.014</w:t>
            </w:r>
          </w:p>
        </w:tc>
        <w:tc>
          <w:tcPr>
            <w:tcW w:w="1038"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c>
          <w:tcPr>
            <w:tcW w:w="975" w:type="dxa"/>
            <w:vAlign w:val="center"/>
          </w:tcPr>
          <w:p>
            <w:pPr>
              <w:pStyle w:val="33"/>
              <w:widowControl/>
              <w:adjustRightInd/>
              <w:snapToGrid/>
              <w:spacing w:line="360" w:lineRule="exact"/>
              <w:ind w:firstLine="0" w:firstLineChars="0"/>
              <w:jc w:val="center"/>
              <w:rPr>
                <w:color w:val="000000"/>
                <w:kern w:val="0"/>
                <w:sz w:val="20"/>
              </w:rPr>
            </w:pPr>
            <w:r>
              <w:rPr>
                <w:rFonts w:hint="eastAsia"/>
              </w:rPr>
              <w:t>/</w:t>
            </w:r>
          </w:p>
        </w:tc>
      </w:tr>
    </w:tbl>
    <w:p>
      <w:pPr>
        <w:ind w:firstLine="480"/>
      </w:pPr>
    </w:p>
    <w:p>
      <w:pPr>
        <w:ind w:firstLine="480"/>
      </w:pPr>
      <w:r>
        <w:t>由表9.2-</w:t>
      </w:r>
      <w:r>
        <w:rPr>
          <w:rFonts w:hint="eastAsia"/>
        </w:rPr>
        <w:t>5</w:t>
      </w:r>
      <w:r>
        <w:t>可知，验收监测期间，</w:t>
      </w:r>
      <w:r>
        <w:rPr>
          <w:rFonts w:hint="eastAsia"/>
        </w:rPr>
        <w:t>机加工</w:t>
      </w:r>
      <w:r>
        <w:t>废气排气筒(DA001)两天检测数据颗粒物最大值浓度为</w:t>
      </w:r>
      <w:r>
        <w:rPr>
          <w:rFonts w:hint="eastAsia"/>
        </w:rPr>
        <w:t>1.5</w:t>
      </w:r>
      <w:r>
        <w:t>mg/m³，满足《区域性大气污染物综合排放标准》(DB37/2376-2019)表l中相应重点控制区限值</w:t>
      </w:r>
      <w:r>
        <w:rPr>
          <w:rFonts w:hint="eastAsia"/>
        </w:rPr>
        <w:t>10</w:t>
      </w:r>
      <w:r>
        <w:t>mg/m³要求。</w:t>
      </w:r>
    </w:p>
    <w:p>
      <w:pPr>
        <w:ind w:firstLine="480"/>
        <w:rPr>
          <w:highlight w:val="red"/>
        </w:rPr>
      </w:pPr>
      <w:r>
        <w:rPr>
          <w:rFonts w:hint="eastAsia"/>
        </w:rPr>
        <w:t>喷粉</w:t>
      </w:r>
      <w:r>
        <w:t xml:space="preserve">废气排气筒(DA002)两天检测数据颗粒物最大值浓度为 </w:t>
      </w:r>
      <w:r>
        <w:rPr>
          <w:rFonts w:hint="eastAsia"/>
        </w:rPr>
        <w:t>1.3</w:t>
      </w:r>
      <w:r>
        <w:t>mg/m³</w:t>
      </w:r>
      <w:r>
        <w:rPr>
          <w:rFonts w:hint="eastAsia"/>
        </w:rPr>
        <w:t>，</w:t>
      </w:r>
      <w:r>
        <w:t>满足《区域性大气污染物综合排放标准》(DB37/2376-2019)表l中相应重点控制区限值</w:t>
      </w:r>
      <w:r>
        <w:rPr>
          <w:rFonts w:hint="eastAsia"/>
        </w:rPr>
        <w:t>10</w:t>
      </w:r>
      <w:r>
        <w:t>mg/m³要求。</w:t>
      </w:r>
    </w:p>
    <w:p>
      <w:pPr>
        <w:ind w:firstLine="480"/>
        <w:rPr>
          <w:highlight w:val="red"/>
        </w:rPr>
      </w:pPr>
      <w:r>
        <w:rPr>
          <w:rFonts w:hint="eastAsia"/>
        </w:rPr>
        <w:t>喷漆固化</w:t>
      </w:r>
      <w:r>
        <w:t>排气筒</w:t>
      </w:r>
      <w:r>
        <w:rPr>
          <w:rFonts w:hint="eastAsia"/>
        </w:rPr>
        <w:t>（</w:t>
      </w:r>
      <w:r>
        <w:t>DA003</w:t>
      </w:r>
      <w:r>
        <w:rPr>
          <w:rFonts w:hint="eastAsia"/>
        </w:rPr>
        <w:t>）</w:t>
      </w:r>
      <w:r>
        <w:t>两天检测数据颗粒物最大值浓度为</w:t>
      </w:r>
      <w:r>
        <w:rPr>
          <w:rFonts w:hint="eastAsia"/>
        </w:rPr>
        <w:t>1.6</w:t>
      </w:r>
      <w:r>
        <w:t>mg/m³满足《区域性大气污染物综合排放标准》(DB37/2376-2019)表l中相应重点控制区限值</w:t>
      </w:r>
      <w:r>
        <w:rPr>
          <w:rFonts w:hint="eastAsia"/>
        </w:rPr>
        <w:t>10</w:t>
      </w:r>
      <w:r>
        <w:t>mg/m³要求</w:t>
      </w:r>
      <w:r>
        <w:rPr>
          <w:rFonts w:hint="eastAsia"/>
        </w:rPr>
        <w:t>；VOCs</w:t>
      </w:r>
      <w:r>
        <w:t>最大值浓度为</w:t>
      </w:r>
      <w:r>
        <w:rPr>
          <w:rFonts w:hint="eastAsia"/>
        </w:rPr>
        <w:t>1.74</w:t>
      </w:r>
      <w:r>
        <w:t>mg/m³</w:t>
      </w:r>
      <w:r>
        <w:rPr>
          <w:rFonts w:hint="eastAsia"/>
        </w:rPr>
        <w:t>，排放速率0.016</w:t>
      </w:r>
      <w:r>
        <w:t>kg/h</w:t>
      </w:r>
      <w:r>
        <w:rPr>
          <w:rFonts w:hint="eastAsia"/>
        </w:rPr>
        <w:t>，</w:t>
      </w:r>
      <w:r>
        <w:t>满足</w:t>
      </w:r>
      <w:r>
        <w:rPr>
          <w:rFonts w:hint="eastAsia"/>
          <w:snapToGrid w:val="0"/>
          <w:kern w:val="0"/>
        </w:rPr>
        <w:t>《挥发性有机物排放标准 第5部分：表面涂装行业》（DB37/2801.5-2018）</w:t>
      </w:r>
      <w:r>
        <w:rPr>
          <w:snapToGrid w:val="0"/>
          <w:kern w:val="0"/>
        </w:rPr>
        <w:t>表</w:t>
      </w:r>
      <w:r>
        <w:rPr>
          <w:rFonts w:hint="eastAsia"/>
          <w:snapToGrid w:val="0"/>
          <w:kern w:val="0"/>
        </w:rPr>
        <w:t>2</w:t>
      </w:r>
      <w:r>
        <w:rPr>
          <w:snapToGrid w:val="0"/>
          <w:kern w:val="0"/>
        </w:rPr>
        <w:t>排放限值</w:t>
      </w:r>
      <w:r>
        <w:rPr>
          <w:rFonts w:hint="eastAsia"/>
          <w:snapToGrid w:val="0"/>
          <w:kern w:val="0"/>
        </w:rPr>
        <w:t>70</w:t>
      </w:r>
      <w:r>
        <w:t>m</w:t>
      </w:r>
      <w:r>
        <w:rPr>
          <w:snapToGrid w:val="0"/>
          <w:kern w:val="0"/>
        </w:rPr>
        <w:t>g/m³</w:t>
      </w:r>
      <w:r>
        <w:rPr>
          <w:rFonts w:hint="eastAsia"/>
          <w:snapToGrid w:val="0"/>
          <w:kern w:val="0"/>
        </w:rPr>
        <w:t>、排放速率限值2.4</w:t>
      </w:r>
      <w:r>
        <w:rPr>
          <w:snapToGrid w:val="0"/>
          <w:kern w:val="0"/>
        </w:rPr>
        <w:t>kg/h</w:t>
      </w:r>
      <w:r>
        <w:rPr>
          <w:rFonts w:hint="eastAsia"/>
          <w:snapToGrid w:val="0"/>
          <w:kern w:val="0"/>
        </w:rPr>
        <w:t>要求。</w:t>
      </w:r>
    </w:p>
    <w:p>
      <w:pPr>
        <w:ind w:firstLine="480"/>
      </w:pPr>
      <w:r>
        <w:t>（2） 无组织排放</w:t>
      </w:r>
      <w:bookmarkEnd w:id="1129"/>
      <w:bookmarkEnd w:id="1130"/>
    </w:p>
    <w:p>
      <w:pPr>
        <w:ind w:firstLine="480"/>
      </w:pPr>
      <w:r>
        <w:t>无组织排放废气检测期间气象参数见表9.2-</w:t>
      </w:r>
      <w:r>
        <w:rPr>
          <w:rFonts w:hint="eastAsia"/>
        </w:rPr>
        <w:t>6</w:t>
      </w:r>
      <w:r>
        <w:t>，厂</w:t>
      </w:r>
      <w:r>
        <w:rPr>
          <w:rFonts w:hint="eastAsia"/>
        </w:rPr>
        <w:t>区无组织</w:t>
      </w:r>
      <w:r>
        <w:t>废气检测结果</w:t>
      </w:r>
      <w:r>
        <w:rPr>
          <w:rFonts w:hint="eastAsia"/>
        </w:rPr>
        <w:t>见表9.2-7，</w:t>
      </w:r>
      <w:r>
        <w:t>无组织排放废气检测结果见表9.2-</w:t>
      </w:r>
      <w:r>
        <w:rPr>
          <w:rFonts w:hint="eastAsia"/>
        </w:rPr>
        <w:t>8</w:t>
      </w:r>
      <w:r>
        <w:t>。</w:t>
      </w:r>
    </w:p>
    <w:p>
      <w:pPr>
        <w:ind w:firstLine="480"/>
        <w:jc w:val="center"/>
        <w:rPr>
          <w:rFonts w:eastAsia="黑体"/>
          <w:bCs/>
        </w:rPr>
      </w:pPr>
      <w:r>
        <w:rPr>
          <w:rFonts w:eastAsia="黑体"/>
          <w:bCs/>
        </w:rPr>
        <w:t>表9.2-</w:t>
      </w:r>
      <w:r>
        <w:rPr>
          <w:rFonts w:hint="eastAsia" w:eastAsia="黑体"/>
          <w:bCs/>
        </w:rPr>
        <w:t>6</w:t>
      </w:r>
      <w:r>
        <w:rPr>
          <w:rFonts w:eastAsia="黑体"/>
          <w:bCs/>
        </w:rPr>
        <w:t xml:space="preserve"> 无组织排放废气检测期间气象参数表</w:t>
      </w:r>
    </w:p>
    <w:tbl>
      <w:tblPr>
        <w:tblStyle w:val="34"/>
        <w:tblW w:w="9259" w:type="dxa"/>
        <w:tblInd w:w="93" w:type="dxa"/>
        <w:tblLayout w:type="autofit"/>
        <w:tblCellMar>
          <w:top w:w="0" w:type="dxa"/>
          <w:left w:w="108" w:type="dxa"/>
          <w:bottom w:w="0" w:type="dxa"/>
          <w:right w:w="108" w:type="dxa"/>
        </w:tblCellMar>
      </w:tblPr>
      <w:tblGrid>
        <w:gridCol w:w="2134"/>
        <w:gridCol w:w="912"/>
        <w:gridCol w:w="1125"/>
        <w:gridCol w:w="1238"/>
        <w:gridCol w:w="1162"/>
        <w:gridCol w:w="988"/>
        <w:gridCol w:w="875"/>
        <w:gridCol w:w="825"/>
      </w:tblGrid>
      <w:tr>
        <w:tblPrEx>
          <w:tblCellMar>
            <w:top w:w="0" w:type="dxa"/>
            <w:left w:w="108" w:type="dxa"/>
            <w:bottom w:w="0" w:type="dxa"/>
            <w:right w:w="108" w:type="dxa"/>
          </w:tblCellMar>
        </w:tblPrEx>
        <w:trPr>
          <w:trHeight w:val="509"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采样日期</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风向</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风速</w:t>
            </w:r>
            <w:r>
              <w:rPr>
                <w:color w:val="000000"/>
                <w:kern w:val="0"/>
                <w:sz w:val="20"/>
                <w:szCs w:val="20"/>
                <w:lang w:bidi="ar"/>
              </w:rPr>
              <w:t>(m/s)</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气压</w:t>
            </w:r>
            <w:r>
              <w:rPr>
                <w:color w:val="000000"/>
                <w:kern w:val="0"/>
                <w:sz w:val="20"/>
                <w:szCs w:val="20"/>
                <w:lang w:bidi="ar"/>
              </w:rPr>
              <w:t>(kPa)</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气温</w:t>
            </w:r>
            <w:r>
              <w:rPr>
                <w:color w:val="000000"/>
                <w:kern w:val="0"/>
                <w:sz w:val="20"/>
                <w:szCs w:val="20"/>
                <w:lang w:bidi="ar"/>
              </w:rPr>
              <w:t>(</w:t>
            </w:r>
            <w:r>
              <w:rPr>
                <w:rFonts w:ascii="宋体" w:hAnsi="宋体" w:cs="宋体"/>
                <w:color w:val="000000"/>
                <w:kern w:val="0"/>
                <w:sz w:val="20"/>
                <w:szCs w:val="20"/>
                <w:lang w:bidi="ar"/>
              </w:rPr>
              <w:t>℃</w:t>
            </w:r>
            <w:r>
              <w:rPr>
                <w:color w:val="000000"/>
                <w:kern w:val="0"/>
                <w:sz w:val="20"/>
                <w:szCs w:val="20"/>
                <w:lang w:bidi="ar"/>
              </w:rPr>
              <w:t>)</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湿度</w:t>
            </w:r>
            <w:r>
              <w:rPr>
                <w:color w:val="000000"/>
                <w:kern w:val="0"/>
                <w:sz w:val="20"/>
                <w:szCs w:val="20"/>
                <w:lang w:bidi="ar"/>
              </w:rPr>
              <w:t>(%)</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低云量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总云量</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2023- 12- 14 12:00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1. 1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101. 11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4.3</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69.5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9</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2023- 12- 14 13:20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100. 11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4. 1</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69.7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8</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2023- 12- 14 14:40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101. 12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3.8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69.9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9</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2023- 12- 14 15:55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1. 1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101.13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3.2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70.5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8</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2023- 12- 15 08:00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101.23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70.5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8</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2023- 12- 15 09:20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101.23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69.8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9</w:t>
            </w:r>
          </w:p>
        </w:tc>
      </w:tr>
      <w:tr>
        <w:tblPrEx>
          <w:tblCellMar>
            <w:top w:w="0" w:type="dxa"/>
            <w:left w:w="108" w:type="dxa"/>
            <w:bottom w:w="0" w:type="dxa"/>
            <w:right w:w="108" w:type="dxa"/>
          </w:tblCellMar>
        </w:tblPrEx>
        <w:trPr>
          <w:trHeight w:val="464"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2023- 12- 15 10:40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1.4</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101.22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69.8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8</w:t>
            </w:r>
          </w:p>
        </w:tc>
      </w:tr>
      <w:tr>
        <w:tblPrEx>
          <w:tblCellMar>
            <w:top w:w="0" w:type="dxa"/>
            <w:left w:w="108" w:type="dxa"/>
            <w:bottom w:w="0" w:type="dxa"/>
            <w:right w:w="108" w:type="dxa"/>
          </w:tblCellMar>
        </w:tblPrEx>
        <w:trPr>
          <w:trHeight w:val="469" w:hRule="atLeast"/>
        </w:trPr>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2023- 12- 15 11:50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Arial" w:hAnsi="Arial" w:cs="Arial"/>
                <w:color w:val="000000"/>
                <w:sz w:val="22"/>
                <w:szCs w:val="22"/>
              </w:rPr>
            </w:pPr>
            <w:r>
              <w:rPr>
                <w:color w:val="000000"/>
                <w:kern w:val="0"/>
                <w:sz w:val="20"/>
                <w:szCs w:val="20"/>
                <w:lang w:bidi="ar"/>
              </w:rPr>
              <w:t>1. 1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101.22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2.3</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69.2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color w:val="000000"/>
                <w:sz w:val="20"/>
                <w:szCs w:val="20"/>
              </w:rPr>
            </w:pPr>
            <w:r>
              <w:rPr>
                <w:color w:val="000000"/>
                <w:kern w:val="0"/>
                <w:sz w:val="20"/>
                <w:szCs w:val="20"/>
                <w:lang w:bidi="ar"/>
              </w:rPr>
              <w:t>7</w:t>
            </w:r>
          </w:p>
        </w:tc>
      </w:tr>
    </w:tbl>
    <w:p>
      <w:pPr>
        <w:pStyle w:val="33"/>
        <w:ind w:firstLine="480"/>
        <w:sectPr>
          <w:pgSz w:w="11905" w:h="16838"/>
          <w:pgMar w:top="1247" w:right="1247" w:bottom="1247" w:left="1247" w:header="709" w:footer="680" w:gutter="0"/>
          <w:cols w:space="0" w:num="1"/>
          <w:docGrid w:type="lines" w:linePitch="336" w:charSpace="0"/>
        </w:sectPr>
      </w:pPr>
    </w:p>
    <w:p>
      <w:pPr>
        <w:ind w:firstLine="480"/>
        <w:jc w:val="center"/>
        <w:rPr>
          <w:rFonts w:eastAsia="黑体"/>
          <w:bCs/>
        </w:rPr>
      </w:pPr>
      <w:r>
        <w:rPr>
          <w:rFonts w:eastAsia="黑体"/>
          <w:bCs/>
        </w:rPr>
        <w:t>表9.2-</w:t>
      </w:r>
      <w:r>
        <w:rPr>
          <w:rFonts w:hint="eastAsia" w:eastAsia="黑体"/>
          <w:bCs/>
        </w:rPr>
        <w:t>7</w:t>
      </w:r>
      <w:r>
        <w:rPr>
          <w:rFonts w:eastAsia="黑体"/>
          <w:bCs/>
        </w:rPr>
        <w:t xml:space="preserve"> 厂</w:t>
      </w:r>
      <w:r>
        <w:rPr>
          <w:rFonts w:hint="eastAsia" w:eastAsia="黑体"/>
          <w:bCs/>
        </w:rPr>
        <w:t>区</w:t>
      </w:r>
      <w:r>
        <w:rPr>
          <w:rFonts w:eastAsia="黑体"/>
          <w:bCs/>
        </w:rPr>
        <w:t>废气检测结果统计表</w:t>
      </w:r>
    </w:p>
    <w:tbl>
      <w:tblPr>
        <w:tblStyle w:val="34"/>
        <w:tblW w:w="4475" w:type="pct"/>
        <w:jc w:val="center"/>
        <w:tblLayout w:type="fixed"/>
        <w:tblCellMar>
          <w:top w:w="0" w:type="dxa"/>
          <w:left w:w="108" w:type="dxa"/>
          <w:bottom w:w="0" w:type="dxa"/>
          <w:right w:w="108" w:type="dxa"/>
        </w:tblCellMar>
      </w:tblPr>
      <w:tblGrid>
        <w:gridCol w:w="985"/>
        <w:gridCol w:w="1031"/>
        <w:gridCol w:w="1665"/>
        <w:gridCol w:w="1113"/>
        <w:gridCol w:w="1363"/>
        <w:gridCol w:w="1263"/>
        <w:gridCol w:w="1196"/>
      </w:tblGrid>
      <w:tr>
        <w:tblPrEx>
          <w:tblCellMar>
            <w:top w:w="0" w:type="dxa"/>
            <w:left w:w="108" w:type="dxa"/>
            <w:bottom w:w="0" w:type="dxa"/>
            <w:right w:w="108" w:type="dxa"/>
          </w:tblCellMar>
        </w:tblPrEx>
        <w:trPr>
          <w:trHeight w:val="700" w:hRule="atLeast"/>
          <w:jc w:val="center"/>
        </w:trPr>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采样日期</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检测点位</w:t>
            </w: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采样时间</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检测项目</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频次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0"/>
                <w:szCs w:val="20"/>
              </w:rPr>
            </w:pPr>
            <w:r>
              <w:rPr>
                <w:color w:val="000000"/>
                <w:kern w:val="0"/>
                <w:sz w:val="20"/>
                <w:szCs w:val="20"/>
                <w:lang w:bidi="ar"/>
              </w:rPr>
              <w:t>检测结果（mg/m³）</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0"/>
                <w:rFonts w:hint="eastAsia" w:cs="Times New Roman"/>
                <w:lang w:bidi="ar"/>
              </w:rPr>
              <w:t>小时平均值</w:t>
            </w:r>
            <w:r>
              <w:rPr>
                <w:color w:val="000000"/>
                <w:kern w:val="0"/>
                <w:sz w:val="20"/>
                <w:szCs w:val="20"/>
                <w:lang w:bidi="ar"/>
              </w:rPr>
              <w:t>（mg/m³）</w:t>
            </w:r>
          </w:p>
        </w:tc>
      </w:tr>
      <w:tr>
        <w:tblPrEx>
          <w:tblCellMar>
            <w:top w:w="0" w:type="dxa"/>
            <w:left w:w="108" w:type="dxa"/>
            <w:bottom w:w="0" w:type="dxa"/>
            <w:right w:w="108" w:type="dxa"/>
          </w:tblCellMar>
        </w:tblPrEx>
        <w:trPr>
          <w:trHeight w:val="377" w:hRule="atLeast"/>
          <w:jc w:val="center"/>
        </w:trPr>
        <w:tc>
          <w:tcPr>
            <w:tcW w:w="572" w:type="pct"/>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2023- 12- 14</w:t>
            </w:r>
          </w:p>
        </w:tc>
        <w:tc>
          <w:tcPr>
            <w:tcW w:w="599" w:type="pct"/>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厂内车间门窗外 1m、距离地面 1.5m 处</w:t>
            </w:r>
          </w:p>
          <w:p>
            <w:pPr>
              <w:widowControl/>
              <w:spacing w:line="240" w:lineRule="auto"/>
              <w:ind w:firstLine="0" w:firstLineChars="0"/>
              <w:jc w:val="center"/>
              <w:textAlignment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12:15- 12:20</w:t>
            </w:r>
          </w:p>
        </w:tc>
        <w:tc>
          <w:tcPr>
            <w:tcW w:w="645" w:type="pct"/>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VOCs</w:t>
            </w:r>
            <w:r>
              <w:rPr>
                <w:color w:val="000000"/>
                <w:kern w:val="0"/>
                <w:sz w:val="20"/>
                <w:szCs w:val="20"/>
                <w:lang w:bidi="ar"/>
              </w:rPr>
              <w:t>（以</w:t>
            </w:r>
            <w:r>
              <w:rPr>
                <w:color w:val="000000"/>
                <w:kern w:val="0"/>
                <w:sz w:val="20"/>
                <w:szCs w:val="20"/>
                <w:lang w:bidi="ar"/>
              </w:rPr>
              <w:br w:type="textWrapping"/>
            </w:r>
            <w:r>
              <w:rPr>
                <w:color w:val="000000"/>
                <w:kern w:val="0"/>
                <w:sz w:val="20"/>
                <w:szCs w:val="20"/>
                <w:lang w:bidi="ar"/>
              </w:rPr>
              <w:t>非甲烷总</w:t>
            </w:r>
            <w:r>
              <w:rPr>
                <w:color w:val="000000"/>
                <w:kern w:val="0"/>
                <w:sz w:val="20"/>
                <w:szCs w:val="20"/>
                <w:lang w:bidi="ar"/>
              </w:rPr>
              <w:br w:type="textWrapping"/>
            </w:r>
            <w:r>
              <w:rPr>
                <w:color w:val="000000"/>
                <w:kern w:val="0"/>
                <w:sz w:val="20"/>
                <w:szCs w:val="20"/>
                <w:lang w:bidi="ar"/>
              </w:rPr>
              <w:t>烃计）</w:t>
            </w: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1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lang w:bidi="ar"/>
              </w:rPr>
            </w:pPr>
            <w:r>
              <w:rPr>
                <w:rStyle w:val="81"/>
                <w:kern w:val="0"/>
                <w:lang w:bidi="ar"/>
              </w:rPr>
              <w:t>1.89</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1.8</w:t>
            </w: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12:30- 12:35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12:45- 12:50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1.69</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6"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13:00- 13:05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2.02</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13:20- 13:25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2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1.99</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w:t>
            </w: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13:35- 13:40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1.79</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13:50- 13:55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1.85</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6"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14:05- 14:10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14:40- 14:45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3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1.99</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1.96</w:t>
            </w: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14:55- 15:00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1.95</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15:10- 15:15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1.95</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86"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15:25- 15:30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1.97</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15:55- 16:00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4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1.94</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1.87</w:t>
            </w: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16:10- 16:15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1.74</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16:25- 16:30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1.91</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16:40- 16:45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1.9</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2023- 12- 15</w:t>
            </w: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08:15-08:20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1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1.59</w:t>
            </w: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08:30-08:35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1.52</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08:45-08:50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1.36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6"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09:00-09:05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1.87</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09:20-09:25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2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1.88</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1.75</w:t>
            </w: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09:35-09:40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09:50-09:55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1.72</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6"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10:05- 10:10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1.64</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10:50- 10:55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3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1.68</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1.65</w:t>
            </w: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11:05- 11:10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11:20- 11:25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1.61</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6"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11:35- 11:40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1.72</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12:05- 12:10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color w:val="000000"/>
                <w:kern w:val="0"/>
                <w:sz w:val="20"/>
                <w:szCs w:val="20"/>
                <w:lang w:bidi="ar"/>
              </w:rPr>
              <w:t xml:space="preserve">第 </w:t>
            </w:r>
            <w:r>
              <w:rPr>
                <w:rStyle w:val="81"/>
                <w:lang w:bidi="ar"/>
              </w:rPr>
              <w:t xml:space="preserve">4 </w:t>
            </w:r>
            <w:r>
              <w:rPr>
                <w:color w:val="000000"/>
                <w:kern w:val="0"/>
                <w:sz w:val="20"/>
                <w:szCs w:val="20"/>
                <w:lang w:bidi="ar"/>
              </w:rPr>
              <w:t>次</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1.72</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lang w:bidi="ar"/>
              </w:rPr>
            </w:pPr>
            <w:r>
              <w:rPr>
                <w:rStyle w:val="81"/>
                <w:kern w:val="0"/>
                <w:sz w:val="22"/>
                <w:szCs w:val="22"/>
                <w:lang w:bidi="ar"/>
              </w:rPr>
              <w:t>1.71</w:t>
            </w: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12:20- 12:25</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rPr>
            </w:pPr>
            <w:r>
              <w:rPr>
                <w:rStyle w:val="81"/>
                <w:kern w:val="0"/>
                <w:sz w:val="22"/>
                <w:szCs w:val="22"/>
                <w:lang w:bidi="ar"/>
              </w:rPr>
              <w:t>1.68</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12:35- 12:40</w:t>
            </w:r>
          </w:p>
        </w:tc>
        <w:tc>
          <w:tcPr>
            <w:tcW w:w="645" w:type="pct"/>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rPr>
            </w:pPr>
            <w:r>
              <w:rPr>
                <w:rStyle w:val="81"/>
                <w:kern w:val="0"/>
                <w:sz w:val="22"/>
                <w:szCs w:val="22"/>
                <w:lang w:bidi="ar"/>
              </w:rPr>
              <w:t>1.67</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r>
      <w:tr>
        <w:tblPrEx>
          <w:tblCellMar>
            <w:top w:w="0" w:type="dxa"/>
            <w:left w:w="108" w:type="dxa"/>
            <w:bottom w:w="0" w:type="dxa"/>
            <w:right w:w="108" w:type="dxa"/>
          </w:tblCellMar>
        </w:tblPrEx>
        <w:trPr>
          <w:trHeight w:val="377" w:hRule="atLeast"/>
          <w:jc w:val="center"/>
        </w:trPr>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599" w:type="pct"/>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0"/>
                <w:szCs w:val="20"/>
              </w:rPr>
            </w:pP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sz w:val="22"/>
                <w:szCs w:val="22"/>
              </w:rPr>
            </w:pPr>
            <w:r>
              <w:rPr>
                <w:rStyle w:val="81"/>
                <w:lang w:bidi="ar"/>
              </w:rPr>
              <w:t>12:40- 12:45</w:t>
            </w:r>
          </w:p>
        </w:tc>
        <w:tc>
          <w:tcPr>
            <w:tcW w:w="645" w:type="pct"/>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81"/>
                <w:sz w:val="22"/>
                <w:szCs w:val="22"/>
              </w:rPr>
            </w:pPr>
            <w:r>
              <w:rPr>
                <w:rStyle w:val="81"/>
                <w:kern w:val="0"/>
                <w:sz w:val="22"/>
                <w:szCs w:val="22"/>
                <w:lang w:bidi="ar"/>
              </w:rPr>
              <w:t>1.78</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color w:val="000000"/>
                <w:sz w:val="22"/>
                <w:szCs w:val="22"/>
              </w:rPr>
            </w:pPr>
          </w:p>
        </w:tc>
      </w:tr>
    </w:tbl>
    <w:p>
      <w:pPr>
        <w:pStyle w:val="33"/>
        <w:ind w:firstLine="480"/>
      </w:pPr>
    </w:p>
    <w:p>
      <w:pPr>
        <w:ind w:firstLine="480"/>
        <w:jc w:val="center"/>
        <w:rPr>
          <w:rFonts w:eastAsia="黑体"/>
        </w:rPr>
      </w:pPr>
      <w:r>
        <w:rPr>
          <w:rFonts w:eastAsia="黑体"/>
        </w:rPr>
        <w:t>表9.2-</w:t>
      </w:r>
      <w:r>
        <w:rPr>
          <w:rFonts w:hint="eastAsia" w:eastAsia="黑体"/>
        </w:rPr>
        <w:t>8</w:t>
      </w:r>
      <w:r>
        <w:rPr>
          <w:rFonts w:eastAsia="黑体"/>
        </w:rPr>
        <w:t xml:space="preserve"> 无组织排放废气浓度检测结果统计表</w:t>
      </w:r>
    </w:p>
    <w:tbl>
      <w:tblPr>
        <w:tblStyle w:val="34"/>
        <w:tblW w:w="895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035"/>
        <w:gridCol w:w="1725"/>
        <w:gridCol w:w="1320"/>
        <w:gridCol w:w="1020"/>
        <w:gridCol w:w="1635"/>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46"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采样日期</w:t>
            </w:r>
          </w:p>
        </w:tc>
        <w:tc>
          <w:tcPr>
            <w:tcW w:w="1035" w:type="dxa"/>
            <w:shd w:val="clear" w:color="auto" w:fill="auto"/>
            <w:vAlign w:val="center"/>
          </w:tcPr>
          <w:p>
            <w:pPr>
              <w:widowControl/>
              <w:spacing w:line="240" w:lineRule="auto"/>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检测点位</w:t>
            </w:r>
          </w:p>
        </w:tc>
        <w:tc>
          <w:tcPr>
            <w:tcW w:w="1725" w:type="dxa"/>
            <w:shd w:val="clear" w:color="auto" w:fill="auto"/>
            <w:vAlign w:val="center"/>
          </w:tcPr>
          <w:p>
            <w:pPr>
              <w:widowControl/>
              <w:spacing w:line="240" w:lineRule="auto"/>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采样时间</w:t>
            </w:r>
          </w:p>
        </w:tc>
        <w:tc>
          <w:tcPr>
            <w:tcW w:w="1320" w:type="dxa"/>
            <w:shd w:val="clear" w:color="auto" w:fill="auto"/>
            <w:vAlign w:val="center"/>
          </w:tcPr>
          <w:p>
            <w:pPr>
              <w:widowControl/>
              <w:spacing w:line="240" w:lineRule="auto"/>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检测项目</w:t>
            </w:r>
          </w:p>
        </w:tc>
        <w:tc>
          <w:tcPr>
            <w:tcW w:w="1020" w:type="dxa"/>
            <w:shd w:val="clear" w:color="auto" w:fill="auto"/>
            <w:vAlign w:val="center"/>
          </w:tcPr>
          <w:p>
            <w:pPr>
              <w:widowControl/>
              <w:spacing w:line="240" w:lineRule="auto"/>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频次</w:t>
            </w:r>
          </w:p>
        </w:tc>
        <w:tc>
          <w:tcPr>
            <w:tcW w:w="1635" w:type="dxa"/>
            <w:shd w:val="clear" w:color="auto" w:fill="auto"/>
            <w:vAlign w:val="center"/>
          </w:tcPr>
          <w:p>
            <w:pPr>
              <w:widowControl/>
              <w:spacing w:line="240" w:lineRule="auto"/>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检测结果</w:t>
            </w:r>
          </w:p>
        </w:tc>
        <w:tc>
          <w:tcPr>
            <w:tcW w:w="1178" w:type="dxa"/>
            <w:shd w:val="clear" w:color="auto" w:fill="auto"/>
            <w:vAlign w:val="center"/>
          </w:tcPr>
          <w:p>
            <w:pPr>
              <w:widowControl/>
              <w:spacing w:line="240" w:lineRule="auto"/>
              <w:ind w:firstLine="0" w:firstLineChars="0"/>
              <w:jc w:val="center"/>
              <w:textAlignment w:val="center"/>
              <w:rPr>
                <w:color w:val="000000"/>
                <w:sz w:val="22"/>
                <w:szCs w:val="22"/>
              </w:rPr>
            </w:pPr>
            <w:r>
              <w:rPr>
                <w:rStyle w:val="80"/>
                <w:rFonts w:hint="eastAsia" w:cs="Times New Roman"/>
                <w:lang w:bidi="ar"/>
              </w:rPr>
              <w:t>小时平均值</w:t>
            </w:r>
            <w:r>
              <w:rPr>
                <w:color w:val="000000"/>
                <w:kern w:val="0"/>
                <w:sz w:val="20"/>
                <w:szCs w:val="20"/>
                <w:lang w:bidi="ar"/>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2023- 12- 14</w:t>
            </w:r>
          </w:p>
        </w:tc>
        <w:tc>
          <w:tcPr>
            <w:tcW w:w="1035" w:type="dxa"/>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厂界上风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1#</w:t>
            </w: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12:10- 12:15</w:t>
            </w:r>
          </w:p>
        </w:tc>
        <w:tc>
          <w:tcPr>
            <w:tcW w:w="1320"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（以非甲烷总烃计）</w:t>
            </w: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第 1 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0.78 mg/m³</w:t>
            </w:r>
          </w:p>
        </w:tc>
        <w:tc>
          <w:tcPr>
            <w:tcW w:w="1178"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0.79mg/m³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12:25- 12:30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0.77mg/m³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12:40- 12:45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0.83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12:55- 13:00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0.79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13:30- 13:35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第 2 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0.86 mg/m³</w:t>
            </w:r>
          </w:p>
        </w:tc>
        <w:tc>
          <w:tcPr>
            <w:tcW w:w="1178"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0.84mg/m³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13:45- 13:50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0.85mg/m³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14:00- 14:05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0.80mg/m³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14:15- 14:20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0.84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14:50- 14:55</w:t>
            </w:r>
          </w:p>
        </w:tc>
        <w:tc>
          <w:tcPr>
            <w:tcW w:w="1320" w:type="dxa"/>
            <w:vMerge w:val="continue"/>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3次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0.84 mg/m³</w:t>
            </w:r>
          </w:p>
        </w:tc>
        <w:tc>
          <w:tcPr>
            <w:tcW w:w="1178"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0.84mg/m³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15:05- 15:10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0.84mg/m³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15:20- 15:25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0.85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15:35- 15:40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0.82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16:05- 16:10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4 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0.75 mg/m³</w:t>
            </w:r>
          </w:p>
        </w:tc>
        <w:tc>
          <w:tcPr>
            <w:tcW w:w="1178"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0.79mg/m³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16:20- 16:25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0.80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16:35- 16:40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0.81mg/m³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16:50- 16:55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0.79 mg/m³</w:t>
            </w:r>
          </w:p>
        </w:tc>
        <w:tc>
          <w:tcPr>
            <w:tcW w:w="1178"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12:10- 13:10</w:t>
            </w:r>
          </w:p>
        </w:tc>
        <w:tc>
          <w:tcPr>
            <w:tcW w:w="1320"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020" w:type="dxa"/>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213 μg/m³</w:t>
            </w:r>
          </w:p>
        </w:tc>
        <w:tc>
          <w:tcPr>
            <w:tcW w:w="1178"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13:30- 14:30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214 μg/m³</w:t>
            </w:r>
          </w:p>
        </w:tc>
        <w:tc>
          <w:tcPr>
            <w:tcW w:w="1178"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14:50- 15:50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212 μg/m³</w:t>
            </w:r>
          </w:p>
        </w:tc>
        <w:tc>
          <w:tcPr>
            <w:tcW w:w="1178"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16:05- 17:05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210 μg/m³</w:t>
            </w:r>
          </w:p>
        </w:tc>
        <w:tc>
          <w:tcPr>
            <w:tcW w:w="1178"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2#</w:t>
            </w: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12:10- 12:15</w:t>
            </w:r>
          </w:p>
        </w:tc>
        <w:tc>
          <w:tcPr>
            <w:tcW w:w="1320"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 mg/m³</w:t>
            </w:r>
          </w:p>
        </w:tc>
        <w:tc>
          <w:tcPr>
            <w:tcW w:w="1178"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17mg/m³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12:25- 12:30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13mg/m³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17 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12:55- 13:00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15mg/m³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13:30- 13:35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0.96 mg/m³</w:t>
            </w:r>
          </w:p>
        </w:tc>
        <w:tc>
          <w:tcPr>
            <w:tcW w:w="1178"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1.02mg/m³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13:45- 13:50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0.92mg/m³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14:00- 14:05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10mg/m³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14:15- 14:20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1.09 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14:50- 14:55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0.92 mg/m³</w:t>
            </w:r>
          </w:p>
        </w:tc>
        <w:tc>
          <w:tcPr>
            <w:tcW w:w="1178"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1.04mg/m³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15:05- 15:10</w:t>
            </w:r>
          </w:p>
        </w:tc>
        <w:tc>
          <w:tcPr>
            <w:tcW w:w="1320" w:type="dxa"/>
            <w:vMerge w:val="continue"/>
            <w:shd w:val="clear" w:color="auto" w:fill="auto"/>
            <w:vAlign w:val="center"/>
          </w:tcPr>
          <w:p>
            <w:pPr>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17mg/m³</w:t>
            </w:r>
          </w:p>
        </w:tc>
        <w:tc>
          <w:tcPr>
            <w:tcW w:w="1178" w:type="dxa"/>
            <w:vMerge w:val="continue"/>
            <w:shd w:val="clear" w:color="auto" w:fill="auto"/>
            <w:vAlign w:val="center"/>
          </w:tcPr>
          <w:p>
            <w:pPr>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15:20- 15:25</w:t>
            </w:r>
          </w:p>
        </w:tc>
        <w:tc>
          <w:tcPr>
            <w:tcW w:w="1320" w:type="dxa"/>
            <w:vMerge w:val="continue"/>
            <w:shd w:val="clear" w:color="auto" w:fill="auto"/>
            <w:vAlign w:val="center"/>
          </w:tcPr>
          <w:p>
            <w:pPr>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0.94 mg/m³</w:t>
            </w:r>
          </w:p>
        </w:tc>
        <w:tc>
          <w:tcPr>
            <w:tcW w:w="1178" w:type="dxa"/>
            <w:vMerge w:val="continue"/>
            <w:shd w:val="clear" w:color="auto" w:fill="auto"/>
            <w:vAlign w:val="center"/>
          </w:tcPr>
          <w:p>
            <w:pPr>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15:35- 15:40</w:t>
            </w:r>
          </w:p>
        </w:tc>
        <w:tc>
          <w:tcPr>
            <w:tcW w:w="1320" w:type="dxa"/>
            <w:vMerge w:val="continue"/>
            <w:shd w:val="clear" w:color="auto" w:fill="auto"/>
            <w:vAlign w:val="center"/>
          </w:tcPr>
          <w:p>
            <w:pPr>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14 mg/m³</w:t>
            </w:r>
          </w:p>
        </w:tc>
        <w:tc>
          <w:tcPr>
            <w:tcW w:w="1178" w:type="dxa"/>
            <w:vMerge w:val="continue"/>
            <w:shd w:val="clear" w:color="auto" w:fill="auto"/>
            <w:vAlign w:val="center"/>
          </w:tcPr>
          <w:p>
            <w:pPr>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16:05- 16:10</w:t>
            </w:r>
          </w:p>
        </w:tc>
        <w:tc>
          <w:tcPr>
            <w:tcW w:w="1320" w:type="dxa"/>
            <w:vMerge w:val="continue"/>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020" w:type="dxa"/>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0.97 mg/m³</w:t>
            </w:r>
          </w:p>
        </w:tc>
        <w:tc>
          <w:tcPr>
            <w:tcW w:w="1178"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12mg/m³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16:20- 16:25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1.23 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16:35- 16:40</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1.06 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16:50- 16:55</w:t>
            </w:r>
          </w:p>
        </w:tc>
        <w:tc>
          <w:tcPr>
            <w:tcW w:w="1320"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635"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1.23 mg/m³</w:t>
            </w:r>
          </w:p>
        </w:tc>
        <w:tc>
          <w:tcPr>
            <w:tcW w:w="1178"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bl>
    <w:p>
      <w:pPr>
        <w:ind w:firstLine="480"/>
      </w:pPr>
      <w:r>
        <w:br w:type="page"/>
      </w:r>
    </w:p>
    <w:tbl>
      <w:tblPr>
        <w:tblStyle w:val="34"/>
        <w:tblW w:w="900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04"/>
        <w:gridCol w:w="931"/>
        <w:gridCol w:w="245"/>
        <w:gridCol w:w="1480"/>
        <w:gridCol w:w="119"/>
        <w:gridCol w:w="1201"/>
        <w:gridCol w:w="51"/>
        <w:gridCol w:w="969"/>
        <w:gridCol w:w="309"/>
        <w:gridCol w:w="1326"/>
        <w:gridCol w:w="375"/>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46"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采样日期</w:t>
            </w:r>
          </w:p>
        </w:tc>
        <w:tc>
          <w:tcPr>
            <w:tcW w:w="1035"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检测点位</w:t>
            </w:r>
          </w:p>
        </w:tc>
        <w:tc>
          <w:tcPr>
            <w:tcW w:w="1725"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采样时间</w:t>
            </w:r>
          </w:p>
        </w:tc>
        <w:tc>
          <w:tcPr>
            <w:tcW w:w="1320"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检测项目</w:t>
            </w: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频次</w:t>
            </w:r>
          </w:p>
        </w:tc>
        <w:tc>
          <w:tcPr>
            <w:tcW w:w="1635"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检测结果</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restart"/>
            <w:shd w:val="clear" w:color="auto" w:fill="auto"/>
            <w:vAlign w:val="center"/>
          </w:tcPr>
          <w:p>
            <w:pPr>
              <w:widowControl/>
              <w:spacing w:line="240" w:lineRule="auto"/>
              <w:ind w:firstLine="0" w:firstLineChars="0"/>
              <w:jc w:val="center"/>
              <w:rPr>
                <w:rFonts w:ascii="Arial" w:hAnsi="Arial" w:cs="Arial"/>
                <w:color w:val="000000"/>
                <w:sz w:val="22"/>
                <w:szCs w:val="22"/>
              </w:rPr>
            </w:pPr>
          </w:p>
          <w:p>
            <w:pPr>
              <w:widowControl/>
              <w:spacing w:line="240" w:lineRule="auto"/>
              <w:ind w:firstLine="0" w:firstLineChars="0"/>
              <w:jc w:val="center"/>
              <w:rPr>
                <w:rFonts w:ascii="Arial" w:hAnsi="Arial" w:cs="Arial"/>
                <w:color w:val="000000"/>
                <w:sz w:val="22"/>
                <w:szCs w:val="22"/>
              </w:rPr>
            </w:pPr>
            <w:r>
              <w:rPr>
                <w:color w:val="000000"/>
                <w:kern w:val="0"/>
                <w:sz w:val="20"/>
                <w:szCs w:val="20"/>
                <w:lang w:bidi="ar"/>
              </w:rPr>
              <w:t>2023- 12- 14</w:t>
            </w:r>
          </w:p>
        </w:tc>
        <w:tc>
          <w:tcPr>
            <w:tcW w:w="1035" w:type="dxa"/>
            <w:gridSpan w:val="2"/>
            <w:vMerge w:val="restart"/>
            <w:shd w:val="clear" w:color="auto" w:fill="auto"/>
            <w:vAlign w:val="center"/>
          </w:tcPr>
          <w:p>
            <w:pPr>
              <w:widowControl/>
              <w:spacing w:line="240" w:lineRule="auto"/>
              <w:ind w:firstLine="0" w:firstLineChars="0"/>
              <w:jc w:val="left"/>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2#</w:t>
            </w: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12:10- 13:10</w:t>
            </w:r>
          </w:p>
        </w:tc>
        <w:tc>
          <w:tcPr>
            <w:tcW w:w="1320"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259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13:30- 14:30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258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14:50- 15:50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255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16:05- 17:05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250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3#</w:t>
            </w: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12:10- 12:15</w:t>
            </w:r>
          </w:p>
        </w:tc>
        <w:tc>
          <w:tcPr>
            <w:tcW w:w="1320"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（以非甲烷总烃计）</w:t>
            </w: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1.04 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1.08mg/m³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12:25- 12:30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12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1.07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12:55- 13:00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1.07mg/m³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13:30- 13:35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1.06 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1.07mg/m³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13:45- 13:50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1.08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14:00- 14:05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0.96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14:15- 14:20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19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14:50- 14:55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0.95mg/m³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0.99mg/m³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15:05- 15:10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0.96mg/m³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15:20- 15:25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10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15:35- 15:40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0.94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16:05- 16:10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1.01 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16:20- 16:25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1.03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16:35- 16:40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16:50- 16:55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1.04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12:10- 13:10</w:t>
            </w:r>
          </w:p>
        </w:tc>
        <w:tc>
          <w:tcPr>
            <w:tcW w:w="1320"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303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13:30- 14:30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295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14:50- 15:50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291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16:05- 17:05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298 μg/m³</w:t>
            </w:r>
          </w:p>
        </w:tc>
        <w:tc>
          <w:tcPr>
            <w:tcW w:w="122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4#</w:t>
            </w: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12:10- 12:15</w:t>
            </w:r>
          </w:p>
        </w:tc>
        <w:tc>
          <w:tcPr>
            <w:tcW w:w="1320"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0.96 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1.00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12:25- 12:30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0.91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0.92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12:55- 13:00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13:30- 13:35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 11mg/m³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13:45- 13:50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14:00- 14:05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0.94mg/m³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14:15- 14:20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1.06mg/m³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14:50- 14:55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 mg/m³</w:t>
            </w:r>
          </w:p>
        </w:tc>
        <w:tc>
          <w:tcPr>
            <w:tcW w:w="1228"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1.02mg/m³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15:05- 15:10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0.99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15:20- 15:25</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 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46"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35"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2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15:35- 15:40</w:t>
            </w:r>
          </w:p>
        </w:tc>
        <w:tc>
          <w:tcPr>
            <w:tcW w:w="132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020"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35"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1.22mg/m³</w:t>
            </w:r>
          </w:p>
        </w:tc>
        <w:tc>
          <w:tcPr>
            <w:tcW w:w="1228"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50"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采样日期</w:t>
            </w:r>
          </w:p>
        </w:tc>
        <w:tc>
          <w:tcPr>
            <w:tcW w:w="1176"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检测点位</w:t>
            </w: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采样时间</w:t>
            </w:r>
          </w:p>
        </w:tc>
        <w:tc>
          <w:tcPr>
            <w:tcW w:w="1252"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检测项目</w:t>
            </w:r>
          </w:p>
        </w:tc>
        <w:tc>
          <w:tcPr>
            <w:tcW w:w="1278"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频次</w:t>
            </w: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检测结果</w:t>
            </w:r>
          </w:p>
        </w:tc>
        <w:tc>
          <w:tcPr>
            <w:tcW w:w="853"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50" w:type="dxa"/>
            <w:gridSpan w:val="2"/>
            <w:vMerge w:val="restart"/>
            <w:shd w:val="clear" w:color="auto" w:fill="auto"/>
            <w:vAlign w:val="center"/>
          </w:tcPr>
          <w:p>
            <w:pPr>
              <w:widowControl/>
              <w:spacing w:line="240" w:lineRule="auto"/>
              <w:ind w:firstLine="0" w:firstLineChars="0"/>
              <w:jc w:val="center"/>
              <w:rPr>
                <w:rFonts w:ascii="Arial" w:hAnsi="Arial" w:cs="Arial"/>
                <w:color w:val="000000"/>
                <w:sz w:val="22"/>
                <w:szCs w:val="22"/>
              </w:rPr>
            </w:pPr>
            <w:r>
              <w:rPr>
                <w:color w:val="000000"/>
                <w:kern w:val="0"/>
                <w:sz w:val="20"/>
                <w:szCs w:val="20"/>
                <w:lang w:bidi="ar"/>
              </w:rPr>
              <w:t>2023- 12- 14</w:t>
            </w:r>
          </w:p>
        </w:tc>
        <w:tc>
          <w:tcPr>
            <w:tcW w:w="1176" w:type="dxa"/>
            <w:gridSpan w:val="2"/>
            <w:vMerge w:val="restart"/>
            <w:shd w:val="clear" w:color="auto" w:fill="auto"/>
            <w:vAlign w:val="center"/>
          </w:tcPr>
          <w:p>
            <w:pPr>
              <w:widowControl/>
              <w:spacing w:line="240" w:lineRule="auto"/>
              <w:ind w:firstLine="0" w:firstLineChars="0"/>
              <w:jc w:val="left"/>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4#</w:t>
            </w: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16:05- 16:10</w:t>
            </w:r>
          </w:p>
        </w:tc>
        <w:tc>
          <w:tcPr>
            <w:tcW w:w="1252" w:type="dxa"/>
            <w:gridSpan w:val="2"/>
            <w:vMerge w:val="restart"/>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 14 mg/m³</w:t>
            </w:r>
          </w:p>
        </w:tc>
        <w:tc>
          <w:tcPr>
            <w:tcW w:w="853" w:type="dxa"/>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1.09mg/m³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16:20- 16:25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 16 mg/m³</w:t>
            </w:r>
          </w:p>
        </w:tc>
        <w:tc>
          <w:tcPr>
            <w:tcW w:w="853"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16:35- 16:40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0.97 mg/m³</w:t>
            </w:r>
          </w:p>
        </w:tc>
        <w:tc>
          <w:tcPr>
            <w:tcW w:w="853"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16:50- 16:55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1.08mg/m³</w:t>
            </w:r>
          </w:p>
        </w:tc>
        <w:tc>
          <w:tcPr>
            <w:tcW w:w="853" w:type="dxa"/>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12:10- 13:10</w:t>
            </w:r>
          </w:p>
        </w:tc>
        <w:tc>
          <w:tcPr>
            <w:tcW w:w="1252"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278"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261 μg/m³</w:t>
            </w:r>
          </w:p>
        </w:tc>
        <w:tc>
          <w:tcPr>
            <w:tcW w:w="853"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13:30- 14:30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263 μg/m³</w:t>
            </w:r>
          </w:p>
        </w:tc>
        <w:tc>
          <w:tcPr>
            <w:tcW w:w="853"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14:50- 15:50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260 μg/m³</w:t>
            </w:r>
          </w:p>
        </w:tc>
        <w:tc>
          <w:tcPr>
            <w:tcW w:w="853"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16:05- 17:05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256 μg/m³</w:t>
            </w:r>
          </w:p>
        </w:tc>
        <w:tc>
          <w:tcPr>
            <w:tcW w:w="853" w:type="dxa"/>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restart"/>
            <w:shd w:val="clear" w:color="auto" w:fill="auto"/>
            <w:vAlign w:val="center"/>
          </w:tcPr>
          <w:p>
            <w:pPr>
              <w:widowControl/>
              <w:spacing w:line="240" w:lineRule="auto"/>
              <w:ind w:firstLine="0" w:firstLineChars="0"/>
              <w:jc w:val="center"/>
              <w:rPr>
                <w:rFonts w:ascii="Arial" w:hAnsi="Arial" w:cs="Arial"/>
                <w:color w:val="000000"/>
                <w:sz w:val="22"/>
                <w:szCs w:val="22"/>
              </w:rPr>
            </w:pPr>
            <w:r>
              <w:rPr>
                <w:rFonts w:hint="eastAsia"/>
                <w:color w:val="000000"/>
                <w:kern w:val="0"/>
                <w:sz w:val="20"/>
                <w:szCs w:val="20"/>
                <w:lang w:bidi="ar"/>
              </w:rPr>
              <w:t>2023-12-15</w:t>
            </w:r>
          </w:p>
        </w:tc>
        <w:tc>
          <w:tcPr>
            <w:tcW w:w="1176" w:type="dxa"/>
            <w:gridSpan w:val="2"/>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厂界上风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1#</w:t>
            </w:r>
          </w:p>
          <w:p>
            <w:pPr>
              <w:widowControl/>
              <w:spacing w:line="240" w:lineRule="auto"/>
              <w:ind w:firstLine="0" w:firstLineChars="0"/>
              <w:jc w:val="left"/>
              <w:textAlignment w:val="center"/>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08:15-08:20</w:t>
            </w:r>
          </w:p>
        </w:tc>
        <w:tc>
          <w:tcPr>
            <w:tcW w:w="1252" w:type="dxa"/>
            <w:gridSpan w:val="2"/>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p>
            <w:pPr>
              <w:widowControl/>
              <w:spacing w:line="240" w:lineRule="auto"/>
              <w:ind w:firstLine="0" w:firstLineChars="0"/>
              <w:jc w:val="center"/>
              <w:textAlignment w:val="center"/>
              <w:rPr>
                <w:rFonts w:ascii="Arial" w:hAnsi="Arial" w:cs="Arial"/>
                <w:color w:val="000000"/>
                <w:sz w:val="22"/>
                <w:szCs w:val="22"/>
              </w:rPr>
            </w:pPr>
          </w:p>
        </w:tc>
        <w:tc>
          <w:tcPr>
            <w:tcW w:w="1278" w:type="dxa"/>
            <w:gridSpan w:val="2"/>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0.75mg/m³</w:t>
            </w:r>
          </w:p>
        </w:tc>
        <w:tc>
          <w:tcPr>
            <w:tcW w:w="853"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08:30-08:35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0.69mg/m³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08:45-08:50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0.73mg/m³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09:00-09:05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0.66mg/m³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09:35-09:40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0.68mg/m³</w:t>
            </w:r>
          </w:p>
        </w:tc>
        <w:tc>
          <w:tcPr>
            <w:tcW w:w="853"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09:50-09:55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0.74mg/m³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10:05- 10:10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0.68mg/m³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10:20- 10:25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0.70 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10:50- 10:55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0.67mg/m³</w:t>
            </w:r>
          </w:p>
        </w:tc>
        <w:tc>
          <w:tcPr>
            <w:tcW w:w="853"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0.67mg/m³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11:05- 11:10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0.66mg/m³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11:20- 11:25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0.67mg/m³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11:35- 11:40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0.67mg/m³</w:t>
            </w:r>
          </w:p>
        </w:tc>
        <w:tc>
          <w:tcPr>
            <w:tcW w:w="853" w:type="dxa"/>
            <w:vMerge w:val="continue"/>
            <w:shd w:val="clear" w:color="auto" w:fill="auto"/>
            <w:vAlign w:val="center"/>
          </w:tcPr>
          <w:p>
            <w:pPr>
              <w:widowControl/>
              <w:spacing w:line="240" w:lineRule="auto"/>
              <w:ind w:firstLine="0" w:firstLineChars="0"/>
              <w:jc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12:05- 12:10</w:t>
            </w:r>
          </w:p>
        </w:tc>
        <w:tc>
          <w:tcPr>
            <w:tcW w:w="1252" w:type="dxa"/>
            <w:gridSpan w:val="2"/>
            <w:vMerge w:val="continue"/>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278" w:type="dxa"/>
            <w:gridSpan w:val="2"/>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rFonts w:hint="eastAsia" w:ascii="宋体" w:hAnsi="宋体" w:cs="宋体"/>
                <w:color w:val="000000"/>
                <w:kern w:val="0"/>
                <w:sz w:val="20"/>
                <w:szCs w:val="20"/>
                <w:lang w:bidi="ar"/>
              </w:rPr>
              <w:t>4</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0.71mg/m³</w:t>
            </w:r>
          </w:p>
        </w:tc>
        <w:tc>
          <w:tcPr>
            <w:tcW w:w="853"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0.68mg/m³</w:t>
            </w:r>
          </w:p>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12:20- 12:25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0.64mg/m³</w:t>
            </w:r>
          </w:p>
        </w:tc>
        <w:tc>
          <w:tcPr>
            <w:tcW w:w="853" w:type="dxa"/>
            <w:vMerge w:val="continue"/>
            <w:shd w:val="clear" w:color="auto" w:fill="auto"/>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12:35- 12:40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0.68mg/m³</w:t>
            </w:r>
          </w:p>
        </w:tc>
        <w:tc>
          <w:tcPr>
            <w:tcW w:w="853" w:type="dxa"/>
            <w:vMerge w:val="continue"/>
            <w:shd w:val="clear" w:color="auto" w:fill="auto"/>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0.68mg/m³</w:t>
            </w:r>
          </w:p>
        </w:tc>
        <w:tc>
          <w:tcPr>
            <w:tcW w:w="853" w:type="dxa"/>
            <w:vMerge w:val="continue"/>
            <w:shd w:val="clear" w:color="auto" w:fill="auto"/>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08:15-09:15</w:t>
            </w:r>
          </w:p>
        </w:tc>
        <w:tc>
          <w:tcPr>
            <w:tcW w:w="1252"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278" w:type="dxa"/>
            <w:gridSpan w:val="2"/>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205 μg/m³</w:t>
            </w:r>
          </w:p>
        </w:tc>
        <w:tc>
          <w:tcPr>
            <w:tcW w:w="853"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09:35- 10:35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212 μg/m³</w:t>
            </w:r>
          </w:p>
        </w:tc>
        <w:tc>
          <w:tcPr>
            <w:tcW w:w="853"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10:50- 11:50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207 μg/m³</w:t>
            </w:r>
          </w:p>
        </w:tc>
        <w:tc>
          <w:tcPr>
            <w:tcW w:w="853"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12:05- 13:05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208 μg/m³</w:t>
            </w:r>
          </w:p>
        </w:tc>
        <w:tc>
          <w:tcPr>
            <w:tcW w:w="853" w:type="dxa"/>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restart"/>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2#</w:t>
            </w: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08:15-08:20</w:t>
            </w:r>
          </w:p>
        </w:tc>
        <w:tc>
          <w:tcPr>
            <w:tcW w:w="1252" w:type="dxa"/>
            <w:gridSpan w:val="2"/>
            <w:vMerge w:val="restart"/>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tc>
        <w:tc>
          <w:tcPr>
            <w:tcW w:w="1278" w:type="dxa"/>
            <w:gridSpan w:val="2"/>
            <w:vMerge w:val="restart"/>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0.85 mg/m³</w:t>
            </w:r>
          </w:p>
        </w:tc>
        <w:tc>
          <w:tcPr>
            <w:tcW w:w="853" w:type="dxa"/>
            <w:vMerge w:val="restart"/>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0.85mg/m³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08:30-08:35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0.85mg/m³</w:t>
            </w:r>
          </w:p>
        </w:tc>
        <w:tc>
          <w:tcPr>
            <w:tcW w:w="853" w:type="dxa"/>
            <w:vMerge w:val="continue"/>
            <w:shd w:val="clear" w:color="auto" w:fill="auto"/>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08:45-08:50</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0.89mg/m³</w:t>
            </w:r>
          </w:p>
        </w:tc>
        <w:tc>
          <w:tcPr>
            <w:tcW w:w="853" w:type="dxa"/>
            <w:vMerge w:val="continue"/>
            <w:shd w:val="clear" w:color="auto" w:fill="auto"/>
            <w:vAlign w:val="center"/>
          </w:tcPr>
          <w:p>
            <w:pPr>
              <w:widowControl/>
              <w:spacing w:line="240" w:lineRule="auto"/>
              <w:ind w:firstLine="0" w:firstLineChars="0"/>
              <w:jc w:val="center"/>
              <w:textAlignment w:val="center"/>
              <w:rPr>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50"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76" w:type="dxa"/>
            <w:gridSpan w:val="2"/>
            <w:vMerge w:val="continue"/>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99"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09:00-09:05</w:t>
            </w:r>
          </w:p>
        </w:tc>
        <w:tc>
          <w:tcPr>
            <w:tcW w:w="1252" w:type="dxa"/>
            <w:gridSpan w:val="2"/>
            <w:vMerge w:val="continue"/>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78" w:type="dxa"/>
            <w:gridSpan w:val="2"/>
            <w:vMerge w:val="continue"/>
            <w:shd w:val="clear" w:color="auto" w:fill="auto"/>
            <w:vAlign w:val="center"/>
          </w:tcPr>
          <w:p>
            <w:pPr>
              <w:widowControl/>
              <w:spacing w:line="240" w:lineRule="auto"/>
              <w:ind w:firstLine="0" w:firstLineChars="0"/>
              <w:jc w:val="left"/>
              <w:rPr>
                <w:rFonts w:ascii="宋体" w:hAnsi="宋体" w:cs="宋体"/>
                <w:color w:val="000000"/>
                <w:kern w:val="0"/>
                <w:sz w:val="20"/>
                <w:szCs w:val="20"/>
                <w:lang w:bidi="ar"/>
              </w:rPr>
            </w:pPr>
          </w:p>
        </w:tc>
        <w:tc>
          <w:tcPr>
            <w:tcW w:w="1701" w:type="dxa"/>
            <w:gridSpan w:val="2"/>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0.80 mg/m³</w:t>
            </w:r>
          </w:p>
        </w:tc>
        <w:tc>
          <w:tcPr>
            <w:tcW w:w="853" w:type="dxa"/>
            <w:vMerge w:val="continue"/>
            <w:shd w:val="clear" w:color="auto" w:fill="auto"/>
            <w:vAlign w:val="center"/>
          </w:tcPr>
          <w:p>
            <w:pPr>
              <w:widowControl/>
              <w:spacing w:line="240" w:lineRule="auto"/>
              <w:ind w:firstLine="0" w:firstLineChars="0"/>
              <w:jc w:val="center"/>
              <w:textAlignment w:val="center"/>
              <w:rPr>
                <w:color w:val="000000"/>
                <w:kern w:val="0"/>
                <w:sz w:val="20"/>
                <w:szCs w:val="20"/>
                <w:lang w:bidi="ar"/>
              </w:rPr>
            </w:pPr>
          </w:p>
        </w:tc>
      </w:tr>
    </w:tbl>
    <w:p>
      <w:pPr>
        <w:ind w:firstLine="480"/>
        <w:rPr>
          <w:highlight w:val="red"/>
        </w:rPr>
      </w:pPr>
      <w:r>
        <w:rPr>
          <w:highlight w:val="red"/>
        </w:rPr>
        <w:br w:type="page"/>
      </w:r>
    </w:p>
    <w:tbl>
      <w:tblPr>
        <w:tblStyle w:val="34"/>
        <w:tblW w:w="9266" w:type="dxa"/>
        <w:tblInd w:w="93" w:type="dxa"/>
        <w:tblLayout w:type="fixed"/>
        <w:tblCellMar>
          <w:top w:w="0" w:type="dxa"/>
          <w:left w:w="108" w:type="dxa"/>
          <w:bottom w:w="0" w:type="dxa"/>
          <w:right w:w="108" w:type="dxa"/>
        </w:tblCellMar>
      </w:tblPr>
      <w:tblGrid>
        <w:gridCol w:w="1163"/>
        <w:gridCol w:w="1128"/>
        <w:gridCol w:w="1650"/>
        <w:gridCol w:w="1215"/>
        <w:gridCol w:w="1260"/>
        <w:gridCol w:w="1695"/>
        <w:gridCol w:w="1155"/>
      </w:tblGrid>
      <w:tr>
        <w:tblPrEx>
          <w:tblCellMar>
            <w:top w:w="0" w:type="dxa"/>
            <w:left w:w="108" w:type="dxa"/>
            <w:bottom w:w="0" w:type="dxa"/>
            <w:right w:w="108" w:type="dxa"/>
          </w:tblCellMar>
        </w:tblPrEx>
        <w:trPr>
          <w:trHeight w:val="378"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采样日期</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检测点位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采样时间</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检测项目</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频次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检测结果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平均值</w:t>
            </w:r>
          </w:p>
        </w:tc>
      </w:tr>
      <w:tr>
        <w:tblPrEx>
          <w:tblCellMar>
            <w:top w:w="0" w:type="dxa"/>
            <w:left w:w="108" w:type="dxa"/>
            <w:bottom w:w="0" w:type="dxa"/>
            <w:right w:w="108" w:type="dxa"/>
          </w:tblCellMar>
        </w:tblPrEx>
        <w:trPr>
          <w:trHeight w:val="380" w:hRule="atLeast"/>
        </w:trPr>
        <w:tc>
          <w:tcPr>
            <w:tcW w:w="1163"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2023- 12- 15</w:t>
            </w:r>
          </w:p>
        </w:tc>
        <w:tc>
          <w:tcPr>
            <w:tcW w:w="11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09:35-09:40</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0.77 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0.89mg/m³</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09:50-09:55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0.77 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24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10:05- 10:10</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0.96 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29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10:20- 10:25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1.06 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10:50- 10:55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1.04 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0.94mg/m³</w:t>
            </w:r>
          </w:p>
        </w:tc>
      </w:tr>
      <w:tr>
        <w:tblPrEx>
          <w:tblCellMar>
            <w:top w:w="0" w:type="dxa"/>
            <w:left w:w="108" w:type="dxa"/>
            <w:bottom w:w="0" w:type="dxa"/>
            <w:right w:w="108" w:type="dxa"/>
          </w:tblCellMar>
        </w:tblPrEx>
        <w:trPr>
          <w:trHeight w:val="307"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11:05- 11:10</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 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11:20- 11:25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0.92mg/m³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11:35- 11:40</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 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12:05- 12:10</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 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0.90 mg/m³</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12:20- 12:25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0.91mg/m³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12:35- 12:40</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0.87mg/m³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23"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08:15-09:15</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250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09:35- 10:35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255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10:50- 11:50</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245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12:05- 13:05</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249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08:15-08:20</w:t>
            </w:r>
          </w:p>
        </w:tc>
        <w:tc>
          <w:tcPr>
            <w:tcW w:w="1215"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p>
            <w:pPr>
              <w:widowControl/>
              <w:spacing w:line="240" w:lineRule="auto"/>
              <w:ind w:firstLine="0" w:firstLineChars="0"/>
              <w:jc w:val="center"/>
              <w:textAlignment w:val="center"/>
              <w:rPr>
                <w:rFonts w:ascii="Arial" w:hAnsi="Arial" w:cs="Arial"/>
                <w:color w:val="000000"/>
                <w:sz w:val="22"/>
                <w:szCs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0.92mg/m³</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08:30-08:35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0.95mg/m³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08:45-08:50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0.92mg/m³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09:00-09:05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0.90mg/m³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09:35-09:40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0.95mg/m³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0.92mg/m³</w:t>
            </w: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09:50-09:55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10:05- 10:10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0.94mg/m³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10:20- 10:25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0.85mg/m³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10:50- 10:55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0.84mg/m³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0.85mg/m³</w:t>
            </w: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11:05- 11:10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0.84mg/m³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11:20- 11:25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0.88mg/m³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11:35- 11:40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0.83mg/m³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12:05- 12:10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0.87mg/m³</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0.90mg/m³</w:t>
            </w: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12:20- 12:25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0.92mg/m³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12:35- 12:40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0.88mg/m³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21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0.93mg/m³</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08:15-09:15</w:t>
            </w:r>
          </w:p>
        </w:tc>
        <w:tc>
          <w:tcPr>
            <w:tcW w:w="1215"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298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09:35- 10:35</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291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10:50- 11:50</w:t>
            </w:r>
          </w:p>
        </w:tc>
        <w:tc>
          <w:tcPr>
            <w:tcW w:w="121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296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0" w:hRule="atLeast"/>
        </w:trPr>
        <w:tc>
          <w:tcPr>
            <w:tcW w:w="1163" w:type="dxa"/>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28"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12:05- 13:05</w:t>
            </w:r>
          </w:p>
        </w:tc>
        <w:tc>
          <w:tcPr>
            <w:tcW w:w="121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295 μg/m³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w:t>
            </w:r>
          </w:p>
        </w:tc>
      </w:tr>
    </w:tbl>
    <w:p>
      <w:pPr>
        <w:ind w:firstLine="480"/>
        <w:rPr>
          <w:highlight w:val="red"/>
        </w:rPr>
      </w:pPr>
      <w:r>
        <w:rPr>
          <w:highlight w:val="red"/>
        </w:rPr>
        <w:br w:type="page"/>
      </w:r>
    </w:p>
    <w:tbl>
      <w:tblPr>
        <w:tblStyle w:val="34"/>
        <w:tblW w:w="9540" w:type="dxa"/>
        <w:tblInd w:w="93" w:type="dxa"/>
        <w:tblLayout w:type="autofit"/>
        <w:tblCellMar>
          <w:top w:w="0" w:type="dxa"/>
          <w:left w:w="108" w:type="dxa"/>
          <w:bottom w:w="0" w:type="dxa"/>
          <w:right w:w="108" w:type="dxa"/>
        </w:tblCellMar>
      </w:tblPr>
      <w:tblGrid>
        <w:gridCol w:w="1163"/>
        <w:gridCol w:w="1153"/>
        <w:gridCol w:w="1681"/>
        <w:gridCol w:w="1197"/>
        <w:gridCol w:w="1198"/>
        <w:gridCol w:w="1575"/>
        <w:gridCol w:w="1573"/>
      </w:tblGrid>
      <w:tr>
        <w:tblPrEx>
          <w:tblCellMar>
            <w:top w:w="0" w:type="dxa"/>
            <w:left w:w="108" w:type="dxa"/>
            <w:bottom w:w="0" w:type="dxa"/>
            <w:right w:w="108" w:type="dxa"/>
          </w:tblCellMar>
        </w:tblPrEx>
        <w:trPr>
          <w:trHeight w:val="378"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采样日期</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检测点位</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采样时间</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检测项目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频次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检测结果</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平均值</w:t>
            </w:r>
          </w:p>
        </w:tc>
      </w:tr>
      <w:tr>
        <w:tblPrEx>
          <w:tblCellMar>
            <w:top w:w="0" w:type="dxa"/>
            <w:left w:w="108" w:type="dxa"/>
            <w:bottom w:w="0" w:type="dxa"/>
            <w:right w:w="108" w:type="dxa"/>
          </w:tblCellMar>
        </w:tblPrEx>
        <w:trPr>
          <w:trHeight w:val="371" w:hRule="atLeast"/>
        </w:trPr>
        <w:tc>
          <w:tcPr>
            <w:tcW w:w="1163"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p>
            <w:pPr>
              <w:widowControl/>
              <w:spacing w:line="240" w:lineRule="auto"/>
              <w:ind w:firstLine="0" w:firstLineChars="0"/>
              <w:jc w:val="center"/>
              <w:rPr>
                <w:rFonts w:ascii="Arial" w:hAnsi="Arial" w:cs="Arial"/>
                <w:color w:val="000000"/>
                <w:sz w:val="22"/>
                <w:szCs w:val="22"/>
              </w:rPr>
            </w:pPr>
          </w:p>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2023- 12- 15</w:t>
            </w:r>
          </w:p>
        </w:tc>
        <w:tc>
          <w:tcPr>
            <w:tcW w:w="1153"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厂界下风</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 xml:space="preserve">向 </w:t>
            </w:r>
            <w:r>
              <w:rPr>
                <w:color w:val="000000"/>
                <w:kern w:val="0"/>
                <w:sz w:val="20"/>
                <w:szCs w:val="20"/>
                <w:lang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08:15-08:20</w:t>
            </w:r>
          </w:p>
        </w:tc>
        <w:tc>
          <w:tcPr>
            <w:tcW w:w="119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VOCs</w:t>
            </w:r>
            <w:r>
              <w:rPr>
                <w:rFonts w:ascii="宋体" w:hAnsi="宋体" w:cs="宋体"/>
                <w:color w:val="000000"/>
                <w:kern w:val="0"/>
                <w:sz w:val="20"/>
                <w:szCs w:val="20"/>
                <w:lang w:bidi="ar"/>
              </w:rPr>
              <w:t>（以非甲烷</w:t>
            </w:r>
            <w:r>
              <w:rPr>
                <w:rFonts w:ascii="宋体" w:hAnsi="宋体" w:cs="宋体"/>
                <w:color w:val="000000"/>
                <w:kern w:val="0"/>
                <w:sz w:val="20"/>
                <w:szCs w:val="20"/>
                <w:lang w:bidi="ar"/>
              </w:rPr>
              <w:br w:type="textWrapping"/>
            </w:r>
            <w:r>
              <w:rPr>
                <w:rFonts w:ascii="宋体" w:hAnsi="宋体" w:cs="宋体"/>
                <w:color w:val="000000"/>
                <w:kern w:val="0"/>
                <w:sz w:val="20"/>
                <w:szCs w:val="20"/>
                <w:lang w:bidi="ar"/>
              </w:rPr>
              <w:t>总烃计）</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0.91 mg/m³</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0.87mg/m³</w:t>
            </w: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08:30-08:35</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0.80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08:45-08:50</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0.95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09:00-09:05</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0.82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09:35-09:40</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0.80 mg/m³</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0.90 mg/m³</w:t>
            </w: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09:50-09:55</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0.92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10:05- 10:10</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0.96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0"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10:20- 10:25</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0.93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10:50- 10:55</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0.91 mg/m³</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0.91mg/m³</w:t>
            </w: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11:05- 11:10</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0.92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7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11:20- 11:25</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0.91mg/m³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11:35- 11:40</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0.91mg/m³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12:05- 12:10</w:t>
            </w:r>
          </w:p>
        </w:tc>
        <w:tc>
          <w:tcPr>
            <w:tcW w:w="1197"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0.94 mg/m³</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0.92mg/m³</w:t>
            </w: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12:20- 12:25</w:t>
            </w:r>
          </w:p>
        </w:tc>
        <w:tc>
          <w:tcPr>
            <w:tcW w:w="1197"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0.89mg/m³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12:35- 12:40</w:t>
            </w:r>
          </w:p>
        </w:tc>
        <w:tc>
          <w:tcPr>
            <w:tcW w:w="1197"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0.98mg/m³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12:40- 12:45</w:t>
            </w:r>
          </w:p>
        </w:tc>
        <w:tc>
          <w:tcPr>
            <w:tcW w:w="1197"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0.89 mg/m³</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08:15-09:15</w:t>
            </w:r>
          </w:p>
        </w:tc>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颗粒物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1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253 μg/m³</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09:35- 10:35</w:t>
            </w: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2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243 μg/m³</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10:50- 11:50</w:t>
            </w: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3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251 μg/m³</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r>
        <w:tblPrEx>
          <w:tblCellMar>
            <w:top w:w="0" w:type="dxa"/>
            <w:left w:w="108" w:type="dxa"/>
            <w:bottom w:w="0" w:type="dxa"/>
            <w:right w:w="108" w:type="dxa"/>
          </w:tblCellMar>
        </w:tblPrEx>
        <w:trPr>
          <w:trHeight w:val="381" w:hRule="atLeast"/>
        </w:trPr>
        <w:tc>
          <w:tcPr>
            <w:tcW w:w="1163"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53"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ascii="Arial" w:hAnsi="Arial" w:cs="Arial"/>
                <w:color w:val="000000"/>
                <w:sz w:val="22"/>
                <w:szCs w:val="22"/>
              </w:rPr>
            </w:pP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12:05- 13:05</w:t>
            </w: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Arial" w:hAnsi="Arial" w:cs="Arial"/>
                <w:color w:val="000000"/>
                <w:sz w:val="22"/>
                <w:szCs w:val="22"/>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ascii="Arial" w:hAnsi="Arial" w:cs="Arial"/>
                <w:color w:val="000000"/>
                <w:sz w:val="22"/>
                <w:szCs w:val="22"/>
              </w:rPr>
            </w:pPr>
            <w:r>
              <w:rPr>
                <w:rFonts w:ascii="宋体" w:hAnsi="宋体" w:cs="宋体"/>
                <w:color w:val="000000"/>
                <w:kern w:val="0"/>
                <w:sz w:val="20"/>
                <w:szCs w:val="20"/>
                <w:lang w:bidi="ar"/>
              </w:rPr>
              <w:t xml:space="preserve"> 第 </w:t>
            </w:r>
            <w:r>
              <w:rPr>
                <w:color w:val="000000"/>
                <w:kern w:val="0"/>
                <w:sz w:val="20"/>
                <w:szCs w:val="20"/>
                <w:lang w:bidi="ar"/>
              </w:rPr>
              <w:t xml:space="preserve">4 </w:t>
            </w:r>
            <w:r>
              <w:rPr>
                <w:rFonts w:ascii="宋体" w:hAnsi="宋体" w:cs="宋体"/>
                <w:color w:val="000000"/>
                <w:kern w:val="0"/>
                <w:sz w:val="20"/>
                <w:szCs w:val="20"/>
                <w:lang w:bidi="ar"/>
              </w:rPr>
              <w:t>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248 μg/m³</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w:t>
            </w:r>
          </w:p>
        </w:tc>
      </w:tr>
    </w:tbl>
    <w:p>
      <w:pPr>
        <w:ind w:firstLine="480"/>
      </w:pPr>
    </w:p>
    <w:p>
      <w:pPr>
        <w:ind w:firstLine="480"/>
      </w:pPr>
      <w:r>
        <w:t>由表9.2-</w:t>
      </w:r>
      <w:r>
        <w:rPr>
          <w:rFonts w:hint="eastAsia"/>
        </w:rPr>
        <w:t>7和</w:t>
      </w:r>
      <w:r>
        <w:t>9.2-</w:t>
      </w:r>
      <w:r>
        <w:rPr>
          <w:rFonts w:hint="eastAsia"/>
        </w:rPr>
        <w:t>8</w:t>
      </w:r>
      <w:r>
        <w:t>可知，验收监测期间，厂内车间门窗外VOCs浓度最大值为</w:t>
      </w:r>
      <w:r>
        <w:rPr>
          <w:rFonts w:hint="eastAsia"/>
        </w:rPr>
        <w:t>1.96</w:t>
      </w:r>
      <w:r>
        <w:t>mg/m³</w:t>
      </w:r>
      <w:r>
        <w:rPr>
          <w:rFonts w:hint="eastAsia"/>
        </w:rPr>
        <w:t>，</w:t>
      </w:r>
      <w:r>
        <w:t>符合《挥发性有机物无组织排放控制标准》（GB37822-2019</w:t>
      </w:r>
      <w:r>
        <w:rPr>
          <w:color w:val="000000" w:themeColor="text1"/>
          <w14:textFill>
            <w14:solidFill>
              <w14:schemeClr w14:val="tx1"/>
            </w14:solidFill>
          </w14:textFill>
        </w:rPr>
        <w:t>）附录A表A.1排放限值</w:t>
      </w:r>
      <w:r>
        <w:rPr>
          <w:rFonts w:hint="eastAsia"/>
          <w:color w:val="000000" w:themeColor="text1"/>
          <w14:textFill>
            <w14:solidFill>
              <w14:schemeClr w14:val="tx1"/>
            </w14:solidFill>
          </w14:textFill>
        </w:rPr>
        <w:t>10</w:t>
      </w:r>
      <w:r>
        <w:rPr>
          <w:snapToGrid w:val="0"/>
          <w:color w:val="000000" w:themeColor="text1"/>
          <w:kern w:val="0"/>
          <w14:textFill>
            <w14:solidFill>
              <w14:schemeClr w14:val="tx1"/>
            </w14:solidFill>
          </w14:textFill>
        </w:rPr>
        <w:t>mg/m</w:t>
      </w:r>
      <w:r>
        <w:rPr>
          <w:snapToGrid w:val="0"/>
          <w:color w:val="000000" w:themeColor="text1"/>
          <w:kern w:val="0"/>
          <w:vertAlign w:val="superscript"/>
          <w14:textFill>
            <w14:solidFill>
              <w14:schemeClr w14:val="tx1"/>
            </w14:solidFill>
          </w14:textFill>
        </w:rPr>
        <w:t>3</w:t>
      </w:r>
      <w:r>
        <w:rPr>
          <w:color w:val="000000" w:themeColor="text1"/>
          <w14:textFill>
            <w14:solidFill>
              <w14:schemeClr w14:val="tx1"/>
            </w14:solidFill>
          </w14:textFill>
        </w:rPr>
        <w:t>。</w:t>
      </w:r>
      <w:r>
        <w:t>厂界无组织VOCs浓度最大值为</w:t>
      </w:r>
      <w:r>
        <w:rPr>
          <w:rFonts w:hint="eastAsia"/>
        </w:rPr>
        <w:t>1.17</w:t>
      </w:r>
      <w:r>
        <w:t>mg/m³，符合《</w:t>
      </w:r>
      <w:r>
        <w:rPr>
          <w:rFonts w:hint="eastAsia"/>
        </w:rPr>
        <w:t>挥发性有机物排放标准 第5部分：表面涂装行业</w:t>
      </w:r>
      <w:r>
        <w:t>》（DB37/2801.</w:t>
      </w:r>
      <w:r>
        <w:rPr>
          <w:rFonts w:hint="eastAsia"/>
        </w:rPr>
        <w:t>5</w:t>
      </w:r>
      <w:r>
        <w:t>-20</w:t>
      </w:r>
      <w:r>
        <w:rPr>
          <w:rFonts w:hint="eastAsia"/>
        </w:rPr>
        <w:t>18</w:t>
      </w:r>
      <w:r>
        <w:t>）表</w:t>
      </w:r>
      <w:r>
        <w:rPr>
          <w:rFonts w:hint="eastAsia"/>
        </w:rPr>
        <w:t>3</w:t>
      </w:r>
      <w:r>
        <w:t xml:space="preserve"> </w:t>
      </w:r>
      <w:r>
        <w:rPr>
          <w:rFonts w:hint="eastAsia"/>
        </w:rPr>
        <w:t>厂界</w:t>
      </w:r>
      <w:r>
        <w:t>监控点浓度限值</w:t>
      </w:r>
      <w:r>
        <w:rPr>
          <w:rFonts w:hint="eastAsia"/>
        </w:rPr>
        <w:t>2.0</w:t>
      </w:r>
      <w:r>
        <w:rPr>
          <w:snapToGrid w:val="0"/>
          <w:kern w:val="0"/>
        </w:rPr>
        <w:t>mg/m</w:t>
      </w:r>
      <w:r>
        <w:rPr>
          <w:snapToGrid w:val="0"/>
          <w:kern w:val="0"/>
          <w:vertAlign w:val="superscript"/>
        </w:rPr>
        <w:t>3</w:t>
      </w:r>
      <w:r>
        <w:t>要求。颗粒物浓度最大值为</w:t>
      </w:r>
      <w:r>
        <w:rPr>
          <w:rFonts w:hint="eastAsia"/>
        </w:rPr>
        <w:t>0.</w:t>
      </w:r>
      <w:r>
        <w:t>303</w:t>
      </w:r>
      <w:r>
        <w:rPr>
          <w:rFonts w:hint="eastAsia"/>
        </w:rPr>
        <w:t>m</w:t>
      </w:r>
      <w:r>
        <w:t>g/m³，符合《大气污染物综合排放标准》（GB 16297-1996）表2监控浓度限值</w:t>
      </w:r>
      <w:r>
        <w:rPr>
          <w:rFonts w:hint="eastAsia"/>
        </w:rPr>
        <w:t>1.0</w:t>
      </w:r>
      <w:r>
        <w:rPr>
          <w:snapToGrid w:val="0"/>
          <w:kern w:val="0"/>
        </w:rPr>
        <w:t>mg/m</w:t>
      </w:r>
      <w:r>
        <w:rPr>
          <w:snapToGrid w:val="0"/>
          <w:kern w:val="0"/>
          <w:vertAlign w:val="superscript"/>
        </w:rPr>
        <w:t>3</w:t>
      </w:r>
      <w:r>
        <w:t>标准。</w:t>
      </w:r>
    </w:p>
    <w:p>
      <w:pPr>
        <w:spacing w:line="240" w:lineRule="auto"/>
        <w:ind w:firstLine="0" w:firstLineChars="0"/>
        <w:rPr>
          <w:highlight w:val="red"/>
        </w:rPr>
      </w:pPr>
    </w:p>
    <w:p>
      <w:pPr>
        <w:ind w:firstLine="480"/>
        <w:rPr>
          <w:highlight w:val="red"/>
        </w:rPr>
      </w:pPr>
      <w:r>
        <w:rPr>
          <w:highlight w:val="red"/>
        </w:rPr>
        <w:br w:type="page"/>
      </w:r>
    </w:p>
    <w:p>
      <w:pPr>
        <w:ind w:firstLine="480"/>
        <w:rPr>
          <w:highlight w:val="red"/>
        </w:rPr>
        <w:sectPr>
          <w:pgSz w:w="11905" w:h="16838"/>
          <w:pgMar w:top="1247" w:right="1247" w:bottom="1247" w:left="1247" w:header="709" w:footer="680" w:gutter="0"/>
          <w:cols w:space="0" w:num="1"/>
          <w:docGrid w:type="lines" w:linePitch="336" w:charSpace="0"/>
        </w:sectPr>
      </w:pPr>
    </w:p>
    <w:p>
      <w:pPr>
        <w:pStyle w:val="6"/>
        <w:tabs>
          <w:tab w:val="left" w:pos="864"/>
        </w:tabs>
      </w:pPr>
      <w:r>
        <w:t>9.2.2.3噪声</w:t>
      </w:r>
    </w:p>
    <w:p>
      <w:pPr>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噪声监测点位见图3.1-3，检测结果见见表9.2-</w:t>
      </w:r>
      <w:r>
        <w:rPr>
          <w:rFonts w:hint="eastAsia"/>
          <w:color w:val="000000" w:themeColor="text1"/>
          <w:kern w:val="0"/>
          <w14:textFill>
            <w14:solidFill>
              <w14:schemeClr w14:val="tx1"/>
            </w14:solidFill>
          </w14:textFill>
        </w:rPr>
        <w:t>9</w:t>
      </w:r>
      <w:r>
        <w:rPr>
          <w:color w:val="000000" w:themeColor="text1"/>
          <w:kern w:val="0"/>
          <w14:textFill>
            <w14:solidFill>
              <w14:schemeClr w14:val="tx1"/>
            </w14:solidFill>
          </w14:textFill>
        </w:rPr>
        <w:t>。</w:t>
      </w:r>
    </w:p>
    <w:p>
      <w:pPr>
        <w:ind w:firstLine="480"/>
        <w:jc w:val="center"/>
        <w:rPr>
          <w:rFonts w:eastAsia="黑体"/>
        </w:rPr>
      </w:pPr>
      <w:bookmarkStart w:id="1131" w:name="_Toc1169_WPSOffice_Level3"/>
      <w:bookmarkStart w:id="1132" w:name="_Toc20551_WPSOffice_Level3"/>
      <w:r>
        <w:rPr>
          <w:rFonts w:eastAsia="黑体"/>
        </w:rPr>
        <w:t>表9.2-</w:t>
      </w:r>
      <w:r>
        <w:rPr>
          <w:rFonts w:hint="eastAsia" w:eastAsia="黑体"/>
        </w:rPr>
        <w:t>9</w:t>
      </w:r>
      <w:r>
        <w:rPr>
          <w:rFonts w:eastAsia="黑体"/>
        </w:rPr>
        <w:t xml:space="preserve"> 厂界噪声检测结果统计表</w:t>
      </w:r>
      <w:bookmarkEnd w:id="1131"/>
      <w:bookmarkEnd w:id="1132"/>
    </w:p>
    <w:tbl>
      <w:tblPr>
        <w:tblStyle w:val="34"/>
        <w:tblW w:w="8671" w:type="dxa"/>
        <w:tblInd w:w="93" w:type="dxa"/>
        <w:tblLayout w:type="fixed"/>
        <w:tblCellMar>
          <w:top w:w="0" w:type="dxa"/>
          <w:left w:w="108" w:type="dxa"/>
          <w:bottom w:w="0" w:type="dxa"/>
          <w:right w:w="108" w:type="dxa"/>
        </w:tblCellMar>
      </w:tblPr>
      <w:tblGrid>
        <w:gridCol w:w="1721"/>
        <w:gridCol w:w="1738"/>
        <w:gridCol w:w="1125"/>
        <w:gridCol w:w="1812"/>
        <w:gridCol w:w="2275"/>
      </w:tblGrid>
      <w:tr>
        <w:tblPrEx>
          <w:tblCellMar>
            <w:top w:w="0" w:type="dxa"/>
            <w:left w:w="108" w:type="dxa"/>
            <w:bottom w:w="0" w:type="dxa"/>
            <w:right w:w="108" w:type="dxa"/>
          </w:tblCellMar>
        </w:tblPrEx>
        <w:trPr>
          <w:trHeight w:val="738" w:hRule="atLeast"/>
        </w:trPr>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检测日期</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检测点位</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检测时段</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检测时间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检测结果</w:t>
            </w:r>
            <w:r>
              <w:rPr>
                <w:rFonts w:ascii="宋体" w:hAnsi="宋体" w:cs="宋体"/>
                <w:color w:val="000000"/>
                <w:kern w:val="0"/>
                <w:sz w:val="20"/>
                <w:szCs w:val="20"/>
                <w:lang w:bidi="ar"/>
              </w:rPr>
              <w:br w:type="textWrapping"/>
            </w:r>
            <w:r>
              <w:rPr>
                <w:color w:val="000000"/>
                <w:kern w:val="0"/>
                <w:sz w:val="20"/>
                <w:szCs w:val="20"/>
                <w:lang w:bidi="ar"/>
              </w:rPr>
              <w:t>Leq[dB(A)]</w:t>
            </w:r>
          </w:p>
        </w:tc>
      </w:tr>
      <w:tr>
        <w:tblPrEx>
          <w:tblCellMar>
            <w:top w:w="0" w:type="dxa"/>
            <w:left w:w="108" w:type="dxa"/>
            <w:bottom w:w="0" w:type="dxa"/>
            <w:right w:w="108" w:type="dxa"/>
          </w:tblCellMar>
        </w:tblPrEx>
        <w:trPr>
          <w:trHeight w:val="454" w:hRule="atLeast"/>
        </w:trPr>
        <w:tc>
          <w:tcPr>
            <w:tcW w:w="1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2023- 12- 13</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东厂界</w:t>
            </w:r>
          </w:p>
        </w:tc>
        <w:tc>
          <w:tcPr>
            <w:tcW w:w="1125"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昼间</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color w:val="000000"/>
                <w:kern w:val="0"/>
                <w:sz w:val="20"/>
                <w:szCs w:val="20"/>
                <w:lang w:bidi="ar"/>
              </w:rPr>
            </w:pPr>
            <w:r>
              <w:rPr>
                <w:color w:val="000000"/>
                <w:kern w:val="0"/>
                <w:sz w:val="20"/>
                <w:szCs w:val="20"/>
                <w:lang w:bidi="ar"/>
              </w:rPr>
              <w:t>16:54- 17:04</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59</w:t>
            </w:r>
          </w:p>
        </w:tc>
      </w:tr>
      <w:tr>
        <w:tblPrEx>
          <w:tblCellMar>
            <w:top w:w="0" w:type="dxa"/>
            <w:left w:w="108" w:type="dxa"/>
            <w:bottom w:w="0" w:type="dxa"/>
            <w:right w:w="108" w:type="dxa"/>
          </w:tblCellMar>
        </w:tblPrEx>
        <w:trPr>
          <w:trHeight w:val="454" w:hRule="atLeast"/>
        </w:trPr>
        <w:tc>
          <w:tcPr>
            <w:tcW w:w="1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南厂界</w:t>
            </w:r>
          </w:p>
        </w:tc>
        <w:tc>
          <w:tcPr>
            <w:tcW w:w="112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15:44- 15:54</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57</w:t>
            </w:r>
          </w:p>
        </w:tc>
      </w:tr>
      <w:tr>
        <w:tblPrEx>
          <w:tblCellMar>
            <w:top w:w="0" w:type="dxa"/>
            <w:left w:w="108" w:type="dxa"/>
            <w:bottom w:w="0" w:type="dxa"/>
            <w:right w:w="108" w:type="dxa"/>
          </w:tblCellMar>
        </w:tblPrEx>
        <w:trPr>
          <w:trHeight w:val="454" w:hRule="atLeast"/>
        </w:trPr>
        <w:tc>
          <w:tcPr>
            <w:tcW w:w="1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西厂界</w:t>
            </w:r>
          </w:p>
        </w:tc>
        <w:tc>
          <w:tcPr>
            <w:tcW w:w="112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15:27- 15:37</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53</w:t>
            </w:r>
          </w:p>
        </w:tc>
      </w:tr>
      <w:tr>
        <w:tblPrEx>
          <w:tblCellMar>
            <w:top w:w="0" w:type="dxa"/>
            <w:left w:w="108" w:type="dxa"/>
            <w:bottom w:w="0" w:type="dxa"/>
            <w:right w:w="108" w:type="dxa"/>
          </w:tblCellMar>
        </w:tblPrEx>
        <w:trPr>
          <w:trHeight w:val="454" w:hRule="atLeast"/>
        </w:trPr>
        <w:tc>
          <w:tcPr>
            <w:tcW w:w="1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北厂界</w:t>
            </w:r>
          </w:p>
        </w:tc>
        <w:tc>
          <w:tcPr>
            <w:tcW w:w="112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17:11- 17:21</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56</w:t>
            </w:r>
          </w:p>
        </w:tc>
      </w:tr>
      <w:tr>
        <w:tblPrEx>
          <w:tblCellMar>
            <w:top w:w="0" w:type="dxa"/>
            <w:left w:w="108" w:type="dxa"/>
            <w:bottom w:w="0" w:type="dxa"/>
            <w:right w:w="108" w:type="dxa"/>
          </w:tblCellMar>
        </w:tblPrEx>
        <w:trPr>
          <w:trHeight w:val="454" w:hRule="atLeast"/>
        </w:trPr>
        <w:tc>
          <w:tcPr>
            <w:tcW w:w="1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2023- 12- 14</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东厂界</w:t>
            </w:r>
          </w:p>
        </w:tc>
        <w:tc>
          <w:tcPr>
            <w:tcW w:w="112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09:43-09:53</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58</w:t>
            </w:r>
          </w:p>
        </w:tc>
      </w:tr>
      <w:tr>
        <w:tblPrEx>
          <w:tblCellMar>
            <w:top w:w="0" w:type="dxa"/>
            <w:left w:w="108" w:type="dxa"/>
            <w:bottom w:w="0" w:type="dxa"/>
            <w:right w:w="108" w:type="dxa"/>
          </w:tblCellMar>
        </w:tblPrEx>
        <w:trPr>
          <w:trHeight w:val="454" w:hRule="atLeast"/>
        </w:trPr>
        <w:tc>
          <w:tcPr>
            <w:tcW w:w="1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南厂界</w:t>
            </w:r>
          </w:p>
        </w:tc>
        <w:tc>
          <w:tcPr>
            <w:tcW w:w="112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09:29-09:39</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58</w:t>
            </w:r>
          </w:p>
        </w:tc>
      </w:tr>
      <w:tr>
        <w:tblPrEx>
          <w:tblCellMar>
            <w:top w:w="0" w:type="dxa"/>
            <w:left w:w="108" w:type="dxa"/>
            <w:bottom w:w="0" w:type="dxa"/>
            <w:right w:w="108" w:type="dxa"/>
          </w:tblCellMar>
        </w:tblPrEx>
        <w:trPr>
          <w:trHeight w:val="454" w:hRule="atLeast"/>
        </w:trPr>
        <w:tc>
          <w:tcPr>
            <w:tcW w:w="1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西厂界</w:t>
            </w:r>
          </w:p>
        </w:tc>
        <w:tc>
          <w:tcPr>
            <w:tcW w:w="1125" w:type="dxa"/>
            <w:vMerge w:val="continue"/>
            <w:tcBorders>
              <w:left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09:14-09:24</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54</w:t>
            </w:r>
          </w:p>
        </w:tc>
      </w:tr>
      <w:tr>
        <w:tblPrEx>
          <w:tblCellMar>
            <w:top w:w="0" w:type="dxa"/>
            <w:left w:w="108" w:type="dxa"/>
            <w:bottom w:w="0" w:type="dxa"/>
            <w:right w:w="108" w:type="dxa"/>
          </w:tblCellMar>
        </w:tblPrEx>
        <w:trPr>
          <w:trHeight w:val="454" w:hRule="atLeast"/>
        </w:trPr>
        <w:tc>
          <w:tcPr>
            <w:tcW w:w="1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rFonts w:ascii="宋体" w:hAnsi="宋体" w:cs="宋体"/>
                <w:color w:val="000000"/>
                <w:kern w:val="0"/>
                <w:sz w:val="20"/>
                <w:szCs w:val="20"/>
                <w:lang w:bidi="ar"/>
              </w:rPr>
              <w:t>北厂界</w:t>
            </w:r>
          </w:p>
        </w:tc>
        <w:tc>
          <w:tcPr>
            <w:tcW w:w="1125"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Arial" w:hAnsi="Arial" w:cs="Arial"/>
                <w:color w:val="000000"/>
                <w:sz w:val="22"/>
                <w:szCs w:val="22"/>
              </w:rPr>
            </w:pP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2"/>
                <w:szCs w:val="22"/>
              </w:rPr>
            </w:pPr>
            <w:r>
              <w:rPr>
                <w:color w:val="000000"/>
                <w:kern w:val="0"/>
                <w:sz w:val="20"/>
                <w:szCs w:val="20"/>
                <w:lang w:bidi="ar"/>
              </w:rPr>
              <w:t>10:27- 10:37</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Arial" w:hAnsi="Arial" w:cs="Arial"/>
                <w:color w:val="000000"/>
                <w:sz w:val="20"/>
                <w:szCs w:val="20"/>
              </w:rPr>
            </w:pPr>
            <w:r>
              <w:rPr>
                <w:rFonts w:ascii="Arial" w:hAnsi="Arial" w:cs="Arial"/>
                <w:color w:val="000000"/>
                <w:kern w:val="0"/>
                <w:sz w:val="20"/>
                <w:szCs w:val="20"/>
                <w:lang w:bidi="ar"/>
              </w:rPr>
              <w:t>56</w:t>
            </w:r>
          </w:p>
        </w:tc>
      </w:tr>
    </w:tbl>
    <w:p>
      <w:pPr>
        <w:ind w:firstLine="480"/>
        <w:rPr>
          <w:kern w:val="0"/>
        </w:rPr>
      </w:pPr>
      <w:r>
        <w:rPr>
          <w:kern w:val="0"/>
        </w:rPr>
        <w:t>由表9.2-</w:t>
      </w:r>
      <w:r>
        <w:rPr>
          <w:rFonts w:hint="eastAsia"/>
          <w:kern w:val="0"/>
        </w:rPr>
        <w:t>9</w:t>
      </w:r>
      <w:r>
        <w:rPr>
          <w:kern w:val="0"/>
        </w:rPr>
        <w:t>可知，验收监测期间，东、南、西、北四厂界昼间噪声在</w:t>
      </w:r>
      <w:r>
        <w:rPr>
          <w:rFonts w:hint="eastAsia"/>
          <w:kern w:val="0"/>
        </w:rPr>
        <w:t>53</w:t>
      </w:r>
      <w:r>
        <w:rPr>
          <w:kern w:val="0"/>
        </w:rPr>
        <w:t>~</w:t>
      </w:r>
      <w:r>
        <w:rPr>
          <w:rFonts w:hint="eastAsia"/>
          <w:kern w:val="0"/>
        </w:rPr>
        <w:t>59</w:t>
      </w:r>
      <w:r>
        <w:rPr>
          <w:kern w:val="0"/>
        </w:rPr>
        <w:t>分贝之间符合《工业企业厂界噪声环境噪声排放标准》（GB12348-2008）</w:t>
      </w:r>
      <w:r>
        <w:rPr>
          <w:rFonts w:hint="eastAsia"/>
          <w:kern w:val="0"/>
        </w:rPr>
        <w:t>2</w:t>
      </w:r>
      <w:r>
        <w:rPr>
          <w:kern w:val="0"/>
        </w:rPr>
        <w:t>类标准要求。</w:t>
      </w:r>
    </w:p>
    <w:p>
      <w:pPr>
        <w:pStyle w:val="6"/>
        <w:tabs>
          <w:tab w:val="left" w:pos="864"/>
        </w:tabs>
      </w:pPr>
      <w:r>
        <w:t>9.2.2.4固体废物</w:t>
      </w:r>
    </w:p>
    <w:p>
      <w:pPr>
        <w:ind w:firstLine="480"/>
        <w:rPr>
          <w:color w:val="FF0000"/>
        </w:rPr>
      </w:pPr>
      <w:r>
        <w:t>一般固体废物执行《一般工业固体废物贮存和填埋污染控制标准》（GB 18599-2020）要求，危险废物按照</w:t>
      </w:r>
      <w:r>
        <w:rPr>
          <w:rFonts w:hint="eastAsia"/>
        </w:rPr>
        <w:t>《危险废物贮存污染控制标准》（GB18597-2023）</w:t>
      </w:r>
      <w:r>
        <w:t>的要求在厂区内暂存。</w:t>
      </w:r>
    </w:p>
    <w:p>
      <w:pPr>
        <w:pStyle w:val="6"/>
        <w:tabs>
          <w:tab w:val="left" w:pos="864"/>
        </w:tabs>
        <w:rPr>
          <w:color w:val="000000"/>
        </w:rPr>
      </w:pPr>
      <w:r>
        <w:rPr>
          <w:color w:val="000000"/>
        </w:rPr>
        <w:t>9.2.2.5污染物排放总量核算</w:t>
      </w:r>
    </w:p>
    <w:p>
      <w:pPr>
        <w:ind w:firstLine="480"/>
        <w:rPr>
          <w:kern w:val="0"/>
        </w:rPr>
      </w:pPr>
      <w:r>
        <w:rPr>
          <w:kern w:val="0"/>
        </w:rPr>
        <w:t>有组织废气VOCs排放总量核算见表9.2-</w:t>
      </w:r>
      <w:r>
        <w:rPr>
          <w:rFonts w:hint="eastAsia"/>
          <w:kern w:val="0"/>
        </w:rPr>
        <w:t>10</w:t>
      </w:r>
      <w:r>
        <w:rPr>
          <w:kern w:val="0"/>
        </w:rPr>
        <w:t>。</w:t>
      </w:r>
    </w:p>
    <w:p>
      <w:pPr>
        <w:ind w:firstLine="480"/>
      </w:pPr>
      <w:r>
        <w:br w:type="page"/>
      </w:r>
    </w:p>
    <w:p>
      <w:pPr>
        <w:pStyle w:val="48"/>
      </w:pPr>
      <w:r>
        <w:t>表9.2-</w:t>
      </w:r>
      <w:r>
        <w:rPr>
          <w:rFonts w:hint="eastAsia"/>
        </w:rPr>
        <w:t>10</w:t>
      </w:r>
      <w:r>
        <w:t xml:space="preserve"> 有组织废气VOCs排放总量核算表</w:t>
      </w:r>
    </w:p>
    <w:tbl>
      <w:tblPr>
        <w:tblStyle w:val="34"/>
        <w:tblW w:w="4623"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fixed"/>
        <w:tblCellMar>
          <w:top w:w="0" w:type="dxa"/>
          <w:left w:w="108" w:type="dxa"/>
          <w:bottom w:w="0" w:type="dxa"/>
          <w:right w:w="108" w:type="dxa"/>
        </w:tblCellMar>
      </w:tblPr>
      <w:tblGrid>
        <w:gridCol w:w="1527"/>
        <w:gridCol w:w="1232"/>
        <w:gridCol w:w="1006"/>
        <w:gridCol w:w="1374"/>
        <w:gridCol w:w="1362"/>
        <w:gridCol w:w="1136"/>
        <w:gridCol w:w="12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857"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kern w:val="0"/>
                <w:sz w:val="21"/>
                <w:szCs w:val="21"/>
                <w:lang w:bidi="ar"/>
              </w:rPr>
              <w:t>检测点位</w:t>
            </w: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kern w:val="0"/>
                <w:sz w:val="21"/>
                <w:szCs w:val="21"/>
                <w:lang w:bidi="ar"/>
              </w:rPr>
              <w:t>检测日期</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kern w:val="0"/>
                <w:sz w:val="21"/>
                <w:szCs w:val="21"/>
                <w:lang w:bidi="ar"/>
              </w:rPr>
              <w:t>工况负荷（</w:t>
            </w:r>
            <w:r>
              <w:rPr>
                <w:rStyle w:val="57"/>
                <w:color w:val="auto"/>
                <w:lang w:bidi="ar"/>
              </w:rPr>
              <w:t>%</w:t>
            </w:r>
            <w:r>
              <w:rPr>
                <w:rStyle w:val="58"/>
                <w:rFonts w:hint="default" w:ascii="Times New Roman" w:hAnsi="Times New Roman" w:cs="Times New Roman"/>
                <w:color w:val="auto"/>
                <w:lang w:bidi="ar"/>
              </w:rPr>
              <w:t>）</w:t>
            </w:r>
          </w:p>
        </w:tc>
        <w:tc>
          <w:tcPr>
            <w:tcW w:w="772" w:type="pct"/>
            <w:tcBorders>
              <w:tl2br w:val="nil"/>
              <w:tr2bl w:val="nil"/>
            </w:tcBorders>
            <w:shd w:val="clear" w:color="auto" w:fill="FFFFFF"/>
            <w:noWrap/>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污染物</w:t>
            </w:r>
          </w:p>
          <w:p>
            <w:pPr>
              <w:widowControl/>
              <w:spacing w:line="240" w:lineRule="auto"/>
              <w:ind w:firstLine="0" w:firstLineChars="0"/>
              <w:jc w:val="center"/>
              <w:textAlignment w:val="center"/>
              <w:rPr>
                <w:sz w:val="21"/>
                <w:szCs w:val="21"/>
              </w:rPr>
            </w:pPr>
            <w:r>
              <w:rPr>
                <w:kern w:val="0"/>
                <w:sz w:val="21"/>
                <w:szCs w:val="21"/>
                <w:lang w:bidi="ar"/>
              </w:rPr>
              <w:t>名称</w:t>
            </w:r>
          </w:p>
        </w:tc>
        <w:tc>
          <w:tcPr>
            <w:tcW w:w="765"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kern w:val="0"/>
                <w:sz w:val="21"/>
                <w:szCs w:val="21"/>
                <w:lang w:bidi="ar"/>
              </w:rPr>
              <w:t>排放速率（</w:t>
            </w:r>
            <w:r>
              <w:rPr>
                <w:rStyle w:val="57"/>
                <w:color w:val="auto"/>
                <w:lang w:bidi="ar"/>
              </w:rPr>
              <w:t>kg/h</w:t>
            </w:r>
            <w:r>
              <w:rPr>
                <w:rStyle w:val="58"/>
                <w:rFonts w:hint="default" w:ascii="Times New Roman" w:hAnsi="Times New Roman" w:cs="Times New Roman"/>
                <w:color w:val="auto"/>
                <w:lang w:bidi="ar"/>
              </w:rPr>
              <w:t>）</w:t>
            </w:r>
          </w:p>
        </w:tc>
        <w:tc>
          <w:tcPr>
            <w:tcW w:w="638"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kern w:val="0"/>
                <w:sz w:val="21"/>
                <w:szCs w:val="21"/>
                <w:lang w:bidi="ar"/>
              </w:rPr>
              <w:t>年运</w:t>
            </w:r>
            <w:r>
              <w:rPr>
                <w:rStyle w:val="58"/>
                <w:rFonts w:hint="default" w:ascii="Times New Roman" w:hAnsi="Times New Roman" w:cs="Times New Roman"/>
                <w:color w:val="auto"/>
                <w:lang w:bidi="ar"/>
              </w:rPr>
              <w:t>行时间（</w:t>
            </w:r>
            <w:r>
              <w:rPr>
                <w:rStyle w:val="57"/>
                <w:color w:val="auto"/>
                <w:lang w:bidi="ar"/>
              </w:rPr>
              <w:t>h</w:t>
            </w:r>
            <w:r>
              <w:rPr>
                <w:rStyle w:val="58"/>
                <w:rFonts w:hint="default" w:ascii="Times New Roman" w:hAnsi="Times New Roman" w:cs="Times New Roman"/>
                <w:color w:val="auto"/>
                <w:lang w:bidi="ar"/>
              </w:rPr>
              <w:t>）</w:t>
            </w:r>
          </w:p>
        </w:tc>
        <w:tc>
          <w:tcPr>
            <w:tcW w:w="709"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kern w:val="0"/>
                <w:sz w:val="21"/>
                <w:szCs w:val="21"/>
                <w:lang w:bidi="ar"/>
              </w:rPr>
              <w:t>满负荷</w:t>
            </w:r>
            <w:r>
              <w:rPr>
                <w:rStyle w:val="58"/>
                <w:rFonts w:hint="default" w:ascii="Times New Roman" w:hAnsi="Times New Roman" w:cs="Times New Roman"/>
                <w:color w:val="auto"/>
                <w:lang w:bidi="ar"/>
              </w:rPr>
              <w:t>排放量（</w:t>
            </w:r>
            <w:r>
              <w:rPr>
                <w:rStyle w:val="57"/>
                <w:color w:val="auto"/>
                <w:lang w:bidi="ar"/>
              </w:rPr>
              <w:t>t/a</w:t>
            </w:r>
            <w:r>
              <w:rPr>
                <w:rStyle w:val="58"/>
                <w:rFonts w:hint="default" w:ascii="Times New Roman" w:hAnsi="Times New Roman" w:cs="Times New Roman"/>
                <w:color w:val="auto"/>
                <w:lang w:bidi="ar"/>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23" w:hRule="atLeast"/>
        </w:trPr>
        <w:tc>
          <w:tcPr>
            <w:tcW w:w="857"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rFonts w:hint="eastAsia"/>
                <w:sz w:val="21"/>
                <w:szCs w:val="21"/>
              </w:rPr>
              <w:t>机加工</w:t>
            </w:r>
            <w:r>
              <w:rPr>
                <w:sz w:val="21"/>
                <w:szCs w:val="21"/>
                <w:lang w:eastAsia="en-US"/>
              </w:rPr>
              <w:t>排气筒DA001</w:t>
            </w:r>
          </w:p>
        </w:tc>
        <w:tc>
          <w:tcPr>
            <w:tcW w:w="692" w:type="pct"/>
            <w:tcBorders>
              <w:bottom w:val="single" w:color="auto" w:sz="4" w:space="0"/>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rFonts w:hint="eastAsia"/>
                <w:sz w:val="21"/>
                <w:szCs w:val="21"/>
              </w:rPr>
              <w:t>2023.12.14</w:t>
            </w:r>
          </w:p>
        </w:tc>
        <w:tc>
          <w:tcPr>
            <w:tcW w:w="564" w:type="pct"/>
            <w:tcBorders>
              <w:bottom w:val="single" w:color="auto" w:sz="4" w:space="0"/>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sz w:val="21"/>
                <w:szCs w:val="21"/>
              </w:rPr>
              <w:t>颗粒物</w:t>
            </w:r>
          </w:p>
        </w:tc>
        <w:tc>
          <w:tcPr>
            <w:tcW w:w="765" w:type="pct"/>
            <w:tcBorders>
              <w:tl2br w:val="nil"/>
              <w:tr2bl w:val="nil"/>
            </w:tcBorders>
            <w:shd w:val="clear" w:color="auto" w:fill="FFFFFF"/>
            <w:vAlign w:val="center"/>
          </w:tcPr>
          <w:p>
            <w:pPr>
              <w:pStyle w:val="44"/>
            </w:pPr>
            <w:r>
              <w:t>0.0</w:t>
            </w:r>
            <w:r>
              <w:rPr>
                <w:rFonts w:hint="eastAsia"/>
              </w:rPr>
              <w:t>15</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restart"/>
            <w:tcBorders>
              <w:tl2br w:val="nil"/>
              <w:tr2bl w:val="nil"/>
            </w:tcBorders>
            <w:shd w:val="clear" w:color="auto" w:fill="FFFFFF"/>
            <w:noWrap/>
            <w:vAlign w:val="center"/>
          </w:tcPr>
          <w:p>
            <w:pPr>
              <w:pStyle w:val="44"/>
            </w:pPr>
            <w:r>
              <w:t>0.</w:t>
            </w:r>
            <w:r>
              <w:rPr>
                <w:rFonts w:hint="eastAsia"/>
              </w:rPr>
              <w:t>0315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23" w:hRule="atLeast"/>
        </w:trPr>
        <w:tc>
          <w:tcPr>
            <w:tcW w:w="857" w:type="pct"/>
            <w:vMerge w:val="continue"/>
            <w:tcBorders>
              <w:tl2br w:val="nil"/>
              <w:tr2bl w:val="nil"/>
            </w:tcBorders>
            <w:shd w:val="clear" w:color="auto" w:fill="FFFFFF"/>
            <w:vAlign w:val="center"/>
          </w:tcPr>
          <w:p>
            <w:pPr>
              <w:widowControl/>
              <w:spacing w:line="240" w:lineRule="auto"/>
              <w:ind w:firstLine="0" w:firstLineChars="0"/>
              <w:jc w:val="center"/>
              <w:rPr>
                <w:color w:val="FF0000"/>
                <w:sz w:val="21"/>
                <w:szCs w:val="21"/>
              </w:rPr>
            </w:pPr>
          </w:p>
        </w:tc>
        <w:tc>
          <w:tcPr>
            <w:tcW w:w="692" w:type="pct"/>
            <w:tcBorders>
              <w:tl2br w:val="nil"/>
              <w:tr2bl w:val="nil"/>
            </w:tcBorders>
            <w:shd w:val="clear" w:color="auto" w:fill="FFFFFF"/>
            <w:vAlign w:val="center"/>
          </w:tcPr>
          <w:p>
            <w:pPr>
              <w:widowControl/>
              <w:spacing w:line="240" w:lineRule="auto"/>
              <w:ind w:firstLine="0" w:firstLineChars="0"/>
              <w:jc w:val="center"/>
              <w:textAlignment w:val="center"/>
              <w:rPr>
                <w:color w:val="FF0000"/>
                <w:sz w:val="21"/>
                <w:szCs w:val="21"/>
              </w:rPr>
            </w:pPr>
            <w:r>
              <w:rPr>
                <w:rFonts w:hint="eastAsia"/>
                <w:sz w:val="21"/>
                <w:szCs w:val="21"/>
              </w:rPr>
              <w:t>2023.12.15</w:t>
            </w:r>
          </w:p>
        </w:tc>
        <w:tc>
          <w:tcPr>
            <w:tcW w:w="564" w:type="pct"/>
            <w:tcBorders>
              <w:top w:val="single" w:color="auto" w:sz="4" w:space="0"/>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continue"/>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p>
        </w:tc>
        <w:tc>
          <w:tcPr>
            <w:tcW w:w="765" w:type="pct"/>
            <w:tcBorders>
              <w:tl2br w:val="nil"/>
              <w:tr2bl w:val="nil"/>
            </w:tcBorders>
            <w:shd w:val="clear" w:color="auto" w:fill="FFFFFF"/>
            <w:vAlign w:val="center"/>
          </w:tcPr>
          <w:p>
            <w:pPr>
              <w:pStyle w:val="44"/>
            </w:pPr>
            <w:r>
              <w:t>0.0</w:t>
            </w:r>
            <w:r>
              <w:rPr>
                <w:rFonts w:hint="eastAsia"/>
              </w:rPr>
              <w:t>14</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continue"/>
            <w:tcBorders>
              <w:tl2br w:val="nil"/>
              <w:tr2bl w:val="nil"/>
            </w:tcBorders>
            <w:shd w:val="clear" w:color="auto" w:fill="FFFFFF"/>
            <w:noWrap/>
            <w:vAlign w:val="center"/>
          </w:tcPr>
          <w:p>
            <w:pPr>
              <w:pStyle w:val="44"/>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857"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rFonts w:hint="eastAsia"/>
                <w:sz w:val="21"/>
                <w:szCs w:val="21"/>
              </w:rPr>
              <w:t>喷粉</w:t>
            </w:r>
            <w:r>
              <w:rPr>
                <w:sz w:val="21"/>
                <w:szCs w:val="21"/>
                <w:lang w:eastAsia="en-US"/>
              </w:rPr>
              <w:t>排气筒DA002</w:t>
            </w: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2023.12.14</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sz w:val="21"/>
                <w:szCs w:val="21"/>
              </w:rPr>
              <w:t>颗粒物</w:t>
            </w:r>
          </w:p>
        </w:tc>
        <w:tc>
          <w:tcPr>
            <w:tcW w:w="765" w:type="pct"/>
            <w:tcBorders>
              <w:tl2br w:val="nil"/>
              <w:tr2bl w:val="nil"/>
            </w:tcBorders>
            <w:shd w:val="clear" w:color="auto" w:fill="FFFFFF"/>
            <w:vAlign w:val="center"/>
          </w:tcPr>
          <w:p>
            <w:pPr>
              <w:pStyle w:val="44"/>
            </w:pPr>
            <w:r>
              <w:t>0.0</w:t>
            </w:r>
            <w:r>
              <w:rPr>
                <w:rFonts w:hint="eastAsia"/>
              </w:rPr>
              <w:t>19</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restart"/>
            <w:tcBorders>
              <w:tl2br w:val="nil"/>
              <w:tr2bl w:val="nil"/>
            </w:tcBorders>
            <w:shd w:val="clear" w:color="auto" w:fill="FFFFFF"/>
            <w:noWrap/>
            <w:vAlign w:val="center"/>
          </w:tcPr>
          <w:p>
            <w:pPr>
              <w:pStyle w:val="44"/>
            </w:pPr>
            <w:r>
              <w:rPr>
                <w:rFonts w:hint="eastAsia"/>
              </w:rPr>
              <w:t>0.0399</w:t>
            </w:r>
            <w: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857" w:type="pct"/>
            <w:vMerge w:val="continue"/>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2023.12.15</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continue"/>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p>
        </w:tc>
        <w:tc>
          <w:tcPr>
            <w:tcW w:w="765" w:type="pct"/>
            <w:tcBorders>
              <w:tl2br w:val="nil"/>
              <w:tr2bl w:val="nil"/>
            </w:tcBorders>
            <w:shd w:val="clear" w:color="auto" w:fill="FFFFFF"/>
            <w:vAlign w:val="center"/>
          </w:tcPr>
          <w:p>
            <w:pPr>
              <w:pStyle w:val="44"/>
            </w:pPr>
            <w:r>
              <w:t>0.0</w:t>
            </w:r>
            <w:r>
              <w:rPr>
                <w:rFonts w:hint="eastAsia"/>
              </w:rPr>
              <w:t>19</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continue"/>
            <w:tcBorders>
              <w:tl2br w:val="nil"/>
              <w:tr2bl w:val="nil"/>
            </w:tcBorders>
            <w:shd w:val="clear" w:color="auto" w:fill="FFFFFF"/>
            <w:noWrap/>
            <w:vAlign w:val="center"/>
          </w:tcPr>
          <w:p>
            <w:pPr>
              <w:pStyle w:val="44"/>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857" w:type="pct"/>
            <w:vMerge w:val="restar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喷漆固化</w:t>
            </w:r>
            <w:r>
              <w:rPr>
                <w:sz w:val="21"/>
                <w:szCs w:val="21"/>
                <w:lang w:eastAsia="en-US"/>
              </w:rPr>
              <w:t>排气筒DA00</w:t>
            </w:r>
            <w:r>
              <w:rPr>
                <w:sz w:val="21"/>
                <w:szCs w:val="21"/>
              </w:rPr>
              <w:t>3</w:t>
            </w: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2023.12.13</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sz w:val="21"/>
                <w:szCs w:val="21"/>
              </w:rPr>
              <w:t>颗粒物</w:t>
            </w:r>
          </w:p>
        </w:tc>
        <w:tc>
          <w:tcPr>
            <w:tcW w:w="765" w:type="pct"/>
            <w:tcBorders>
              <w:tl2br w:val="nil"/>
              <w:tr2bl w:val="nil"/>
            </w:tcBorders>
            <w:shd w:val="clear" w:color="auto" w:fill="FFFFFF"/>
            <w:vAlign w:val="center"/>
          </w:tcPr>
          <w:p>
            <w:pPr>
              <w:pStyle w:val="44"/>
            </w:pPr>
            <w:r>
              <w:t>0.0</w:t>
            </w:r>
            <w:r>
              <w:rPr>
                <w:rFonts w:hint="eastAsia"/>
              </w:rPr>
              <w:t>14</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restart"/>
            <w:tcBorders>
              <w:tl2br w:val="nil"/>
              <w:tr2bl w:val="nil"/>
            </w:tcBorders>
            <w:shd w:val="clear" w:color="auto" w:fill="FFFFFF"/>
            <w:noWrap/>
            <w:vAlign w:val="center"/>
          </w:tcPr>
          <w:p>
            <w:pPr>
              <w:pStyle w:val="44"/>
            </w:pPr>
            <w:r>
              <w:rPr>
                <w:rFonts w:hint="eastAsia"/>
              </w:rPr>
              <w:t>0.0315</w:t>
            </w:r>
            <w: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23" w:hRule="atLeast"/>
        </w:trPr>
        <w:tc>
          <w:tcPr>
            <w:tcW w:w="857" w:type="pct"/>
            <w:vMerge w:val="continue"/>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2023.12.14</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continue"/>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p>
        </w:tc>
        <w:tc>
          <w:tcPr>
            <w:tcW w:w="765" w:type="pct"/>
            <w:tcBorders>
              <w:tl2br w:val="nil"/>
              <w:tr2bl w:val="nil"/>
            </w:tcBorders>
            <w:shd w:val="clear" w:color="auto" w:fill="FFFFFF"/>
            <w:vAlign w:val="center"/>
          </w:tcPr>
          <w:p>
            <w:pPr>
              <w:pStyle w:val="44"/>
            </w:pPr>
            <w:r>
              <w:t>0.0</w:t>
            </w:r>
            <w:r>
              <w:rPr>
                <w:rFonts w:hint="eastAsia"/>
              </w:rPr>
              <w:t>15</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continue"/>
            <w:tcBorders>
              <w:tl2br w:val="nil"/>
              <w:tr2bl w:val="nil"/>
            </w:tcBorders>
            <w:shd w:val="clear" w:color="auto" w:fill="FFFFFF"/>
            <w:noWrap/>
            <w:vAlign w:val="center"/>
          </w:tcPr>
          <w:p>
            <w:pPr>
              <w:pStyle w:val="44"/>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857" w:type="pct"/>
            <w:vMerge w:val="continue"/>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2023.12.13</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rFonts w:hint="eastAsia"/>
                <w:sz w:val="21"/>
                <w:szCs w:val="21"/>
              </w:rPr>
              <w:t>VOCs</w:t>
            </w:r>
          </w:p>
        </w:tc>
        <w:tc>
          <w:tcPr>
            <w:tcW w:w="765" w:type="pct"/>
            <w:tcBorders>
              <w:tl2br w:val="nil"/>
              <w:tr2bl w:val="nil"/>
            </w:tcBorders>
            <w:shd w:val="clear" w:color="auto" w:fill="FFFFFF"/>
            <w:vAlign w:val="center"/>
          </w:tcPr>
          <w:p>
            <w:pPr>
              <w:pStyle w:val="44"/>
            </w:pPr>
            <w:r>
              <w:t>0.0</w:t>
            </w:r>
            <w:r>
              <w:rPr>
                <w:rFonts w:hint="eastAsia"/>
              </w:rPr>
              <w:t>15</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restart"/>
            <w:tcBorders>
              <w:tl2br w:val="nil"/>
              <w:tr2bl w:val="nil"/>
            </w:tcBorders>
            <w:shd w:val="clear" w:color="auto" w:fill="FFFFFF"/>
            <w:noWrap/>
            <w:vAlign w:val="center"/>
          </w:tcPr>
          <w:p>
            <w:pPr>
              <w:pStyle w:val="44"/>
            </w:pPr>
            <w:r>
              <w:t>0.</w:t>
            </w:r>
            <w:r>
              <w:rPr>
                <w:rFonts w:hint="eastAsia"/>
              </w:rPr>
              <w:t>0336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857" w:type="pct"/>
            <w:vMerge w:val="continue"/>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p>
        </w:tc>
        <w:tc>
          <w:tcPr>
            <w:tcW w:w="692"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2023.12.14</w:t>
            </w:r>
          </w:p>
        </w:tc>
        <w:tc>
          <w:tcPr>
            <w:tcW w:w="564" w:type="pct"/>
            <w:tcBorders>
              <w:tl2br w:val="nil"/>
              <w:tr2bl w:val="nil"/>
            </w:tcBorders>
            <w:shd w:val="clear" w:color="auto" w:fill="FFFFFF"/>
            <w:noWrap/>
            <w:vAlign w:val="center"/>
          </w:tcPr>
          <w:p>
            <w:pPr>
              <w:widowControl/>
              <w:spacing w:line="240" w:lineRule="auto"/>
              <w:ind w:firstLine="0" w:firstLineChars="0"/>
              <w:jc w:val="center"/>
              <w:textAlignment w:val="center"/>
              <w:rPr>
                <w:sz w:val="21"/>
                <w:szCs w:val="21"/>
              </w:rPr>
            </w:pPr>
            <w:r>
              <w:rPr>
                <w:rFonts w:hint="eastAsia"/>
                <w:sz w:val="21"/>
                <w:szCs w:val="21"/>
              </w:rPr>
              <w:t>100</w:t>
            </w:r>
          </w:p>
        </w:tc>
        <w:tc>
          <w:tcPr>
            <w:tcW w:w="772" w:type="pct"/>
            <w:vMerge w:val="continue"/>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p>
        </w:tc>
        <w:tc>
          <w:tcPr>
            <w:tcW w:w="765" w:type="pct"/>
            <w:tcBorders>
              <w:tl2br w:val="nil"/>
              <w:tr2bl w:val="nil"/>
            </w:tcBorders>
            <w:shd w:val="clear" w:color="auto" w:fill="FFFFFF"/>
            <w:vAlign w:val="center"/>
          </w:tcPr>
          <w:p>
            <w:pPr>
              <w:pStyle w:val="44"/>
            </w:pPr>
            <w:r>
              <w:t>0.0</w:t>
            </w:r>
            <w:r>
              <w:rPr>
                <w:rFonts w:hint="eastAsia"/>
              </w:rPr>
              <w:t>16</w:t>
            </w:r>
          </w:p>
        </w:tc>
        <w:tc>
          <w:tcPr>
            <w:tcW w:w="638" w:type="pct"/>
            <w:tcBorders>
              <w:tl2br w:val="nil"/>
              <w:tr2bl w:val="nil"/>
            </w:tcBorders>
            <w:shd w:val="clear" w:color="auto" w:fill="FFFFFF"/>
            <w:noWrap/>
            <w:vAlign w:val="center"/>
          </w:tcPr>
          <w:p>
            <w:pPr>
              <w:pStyle w:val="44"/>
            </w:pPr>
            <w:r>
              <w:rPr>
                <w:rFonts w:hint="eastAsia"/>
              </w:rPr>
              <w:t>2100</w:t>
            </w:r>
          </w:p>
        </w:tc>
        <w:tc>
          <w:tcPr>
            <w:tcW w:w="709" w:type="pct"/>
            <w:vMerge w:val="continue"/>
            <w:tcBorders>
              <w:tl2br w:val="nil"/>
              <w:tr2bl w:val="nil"/>
            </w:tcBorders>
            <w:shd w:val="clear" w:color="auto" w:fill="FFFFFF"/>
            <w:noWrap/>
            <w:vAlign w:val="center"/>
          </w:tcPr>
          <w:p>
            <w:pPr>
              <w:widowControl/>
              <w:jc w:val="center"/>
              <w:textAlignment w:val="center"/>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23" w:hRule="atLeast"/>
        </w:trPr>
        <w:tc>
          <w:tcPr>
            <w:tcW w:w="857" w:type="pct"/>
            <w:vMerge w:val="restart"/>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kern w:val="0"/>
                <w:sz w:val="21"/>
                <w:szCs w:val="21"/>
                <w:lang w:bidi="ar"/>
              </w:rPr>
              <w:t>合计</w:t>
            </w:r>
          </w:p>
        </w:tc>
        <w:tc>
          <w:tcPr>
            <w:tcW w:w="1257" w:type="pct"/>
            <w:gridSpan w:val="2"/>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kern w:val="0"/>
                <w:sz w:val="21"/>
                <w:szCs w:val="21"/>
                <w:lang w:bidi="ar"/>
              </w:rPr>
              <w:t>污染物名称</w:t>
            </w:r>
          </w:p>
        </w:tc>
        <w:tc>
          <w:tcPr>
            <w:tcW w:w="1537" w:type="pct"/>
            <w:gridSpan w:val="2"/>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kern w:val="0"/>
                <w:sz w:val="21"/>
                <w:szCs w:val="21"/>
                <w:lang w:bidi="ar"/>
              </w:rPr>
              <w:t>满负荷排放量（</w:t>
            </w:r>
            <w:r>
              <w:rPr>
                <w:rStyle w:val="59"/>
                <w:color w:val="auto"/>
                <w:lang w:bidi="ar"/>
              </w:rPr>
              <w:t>t/a</w:t>
            </w:r>
            <w:r>
              <w:rPr>
                <w:rStyle w:val="60"/>
                <w:rFonts w:hint="default" w:ascii="Times New Roman" w:hAnsi="Times New Roman" w:cs="Times New Roman"/>
                <w:color w:val="auto"/>
                <w:lang w:bidi="ar"/>
              </w:rPr>
              <w:t>）</w:t>
            </w:r>
          </w:p>
        </w:tc>
        <w:tc>
          <w:tcPr>
            <w:tcW w:w="1348" w:type="pct"/>
            <w:gridSpan w:val="2"/>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kern w:val="0"/>
                <w:sz w:val="21"/>
                <w:szCs w:val="21"/>
                <w:lang w:bidi="ar"/>
              </w:rPr>
              <w:t>总量指标（</w:t>
            </w:r>
            <w:r>
              <w:rPr>
                <w:rStyle w:val="59"/>
                <w:color w:val="auto"/>
                <w:lang w:bidi="ar"/>
              </w:rPr>
              <w:t>t/a</w:t>
            </w:r>
            <w:r>
              <w:rPr>
                <w:rStyle w:val="60"/>
                <w:rFonts w:hint="default" w:ascii="Times New Roman" w:hAnsi="Times New Roman" w:cs="Times New Roman"/>
                <w:color w:val="auto"/>
                <w:lang w:bidi="ar"/>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23" w:hRule="atLeast"/>
        </w:trPr>
        <w:tc>
          <w:tcPr>
            <w:tcW w:w="857" w:type="pct"/>
            <w:vMerge w:val="continue"/>
            <w:tcBorders>
              <w:tl2br w:val="nil"/>
              <w:tr2bl w:val="nil"/>
            </w:tcBorders>
            <w:shd w:val="clear" w:color="auto" w:fill="FFFFFF"/>
            <w:vAlign w:val="center"/>
          </w:tcPr>
          <w:p>
            <w:pPr>
              <w:widowControl/>
              <w:spacing w:line="240" w:lineRule="auto"/>
              <w:ind w:firstLine="0" w:firstLineChars="0"/>
              <w:jc w:val="center"/>
              <w:rPr>
                <w:sz w:val="21"/>
                <w:szCs w:val="21"/>
              </w:rPr>
            </w:pPr>
          </w:p>
        </w:tc>
        <w:tc>
          <w:tcPr>
            <w:tcW w:w="1257" w:type="pct"/>
            <w:gridSpan w:val="2"/>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kern w:val="0"/>
                <w:sz w:val="21"/>
                <w:szCs w:val="21"/>
                <w:lang w:bidi="ar"/>
              </w:rPr>
              <w:t>颗粒物</w:t>
            </w:r>
          </w:p>
        </w:tc>
        <w:tc>
          <w:tcPr>
            <w:tcW w:w="1537" w:type="pct"/>
            <w:gridSpan w:val="2"/>
            <w:tcBorders>
              <w:tl2br w:val="nil"/>
              <w:tr2bl w:val="nil"/>
            </w:tcBorders>
            <w:shd w:val="clear" w:color="auto" w:fill="FFFFFF"/>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0.1</w:t>
            </w:r>
            <w:r>
              <w:rPr>
                <w:rFonts w:hint="eastAsia"/>
                <w:kern w:val="0"/>
                <w:sz w:val="21"/>
                <w:szCs w:val="21"/>
                <w:lang w:bidi="ar"/>
              </w:rPr>
              <w:t>03</w:t>
            </w:r>
          </w:p>
        </w:tc>
        <w:tc>
          <w:tcPr>
            <w:tcW w:w="1348" w:type="pct"/>
            <w:gridSpan w:val="2"/>
            <w:tcBorders>
              <w:tl2br w:val="nil"/>
              <w:tr2bl w:val="nil"/>
            </w:tcBorders>
            <w:shd w:val="clear" w:color="auto" w:fill="FFFFFF"/>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0.</w:t>
            </w:r>
            <w:r>
              <w:rPr>
                <w:rFonts w:hint="eastAsia"/>
                <w:kern w:val="0"/>
                <w:sz w:val="21"/>
                <w:szCs w:val="21"/>
                <w:lang w:bidi="ar"/>
              </w:rPr>
              <w:t>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857" w:type="pct"/>
            <w:vMerge w:val="continue"/>
            <w:tcBorders>
              <w:tl2br w:val="nil"/>
              <w:tr2bl w:val="nil"/>
            </w:tcBorders>
            <w:shd w:val="clear" w:color="auto" w:fill="FFFFFF"/>
            <w:vAlign w:val="center"/>
          </w:tcPr>
          <w:p>
            <w:pPr>
              <w:widowControl/>
              <w:spacing w:line="240" w:lineRule="auto"/>
              <w:ind w:firstLine="0" w:firstLineChars="0"/>
              <w:jc w:val="center"/>
              <w:rPr>
                <w:sz w:val="21"/>
                <w:szCs w:val="21"/>
              </w:rPr>
            </w:pPr>
          </w:p>
        </w:tc>
        <w:tc>
          <w:tcPr>
            <w:tcW w:w="1257" w:type="pct"/>
            <w:gridSpan w:val="2"/>
            <w:tcBorders>
              <w:tl2br w:val="nil"/>
              <w:tr2bl w:val="nil"/>
            </w:tcBorders>
            <w:shd w:val="clear" w:color="auto" w:fill="FFFFFF"/>
            <w:vAlign w:val="center"/>
          </w:tcPr>
          <w:p>
            <w:pPr>
              <w:widowControl/>
              <w:spacing w:line="240" w:lineRule="auto"/>
              <w:ind w:firstLine="0" w:firstLineChars="0"/>
              <w:jc w:val="center"/>
              <w:textAlignment w:val="center"/>
              <w:rPr>
                <w:sz w:val="21"/>
                <w:szCs w:val="21"/>
              </w:rPr>
            </w:pPr>
            <w:r>
              <w:rPr>
                <w:kern w:val="0"/>
                <w:sz w:val="21"/>
                <w:szCs w:val="21"/>
                <w:lang w:bidi="ar"/>
              </w:rPr>
              <w:t>VOCs</w:t>
            </w:r>
          </w:p>
        </w:tc>
        <w:tc>
          <w:tcPr>
            <w:tcW w:w="1537" w:type="pct"/>
            <w:gridSpan w:val="2"/>
            <w:tcBorders>
              <w:tl2br w:val="nil"/>
              <w:tr2bl w:val="nil"/>
            </w:tcBorders>
            <w:shd w:val="clear" w:color="auto" w:fill="FFFFFF"/>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0.</w:t>
            </w:r>
            <w:r>
              <w:rPr>
                <w:rFonts w:hint="eastAsia"/>
                <w:kern w:val="0"/>
                <w:sz w:val="21"/>
                <w:szCs w:val="21"/>
                <w:lang w:bidi="ar"/>
              </w:rPr>
              <w:t>034</w:t>
            </w:r>
          </w:p>
        </w:tc>
        <w:tc>
          <w:tcPr>
            <w:tcW w:w="1348" w:type="pct"/>
            <w:gridSpan w:val="2"/>
            <w:tcBorders>
              <w:tl2br w:val="nil"/>
              <w:tr2bl w:val="nil"/>
            </w:tcBorders>
            <w:shd w:val="clear" w:color="auto" w:fill="FFFFFF"/>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0.</w:t>
            </w:r>
            <w:r>
              <w:rPr>
                <w:rFonts w:hint="eastAsia"/>
                <w:kern w:val="0"/>
                <w:sz w:val="21"/>
                <w:szCs w:val="21"/>
                <w:lang w:bidi="ar"/>
              </w:rPr>
              <w:t>035</w:t>
            </w:r>
          </w:p>
        </w:tc>
      </w:tr>
    </w:tbl>
    <w:p>
      <w:pPr>
        <w:ind w:firstLine="480"/>
        <w:rPr>
          <w:highlight w:val="red"/>
        </w:rPr>
      </w:pPr>
      <w:r>
        <w:t>由表9.2-</w:t>
      </w:r>
      <w:r>
        <w:rPr>
          <w:rFonts w:hint="eastAsia"/>
        </w:rPr>
        <w:t>10</w:t>
      </w:r>
      <w:r>
        <w:t>可知，根据验收监测期间废气处理设施排气筒废气检测数据，核算有组织废气颗粒物、VOCs排放总量分别为</w:t>
      </w:r>
      <w:r>
        <w:rPr>
          <w:rFonts w:hint="eastAsia"/>
        </w:rPr>
        <w:t>0.103</w:t>
      </w:r>
      <w:r>
        <w:t xml:space="preserve"> t/a、0.</w:t>
      </w:r>
      <w:r>
        <w:rPr>
          <w:rFonts w:hint="eastAsia"/>
        </w:rPr>
        <w:t>034</w:t>
      </w:r>
      <w:r>
        <w:t xml:space="preserve"> t/a，满足颗粒物、VOCs总量指标要求。 </w:t>
      </w:r>
      <w:bookmarkStart w:id="1133" w:name="_Toc31251"/>
      <w:bookmarkStart w:id="1134" w:name="_Toc9239_WPSOffice_Level2"/>
      <w:bookmarkStart w:id="1135" w:name="_Toc11643_WPSOffice_Level2"/>
      <w:bookmarkStart w:id="1136" w:name="_Toc30039"/>
      <w:bookmarkStart w:id="1137" w:name="_Toc17177"/>
      <w:bookmarkStart w:id="1138" w:name="_Toc13039"/>
      <w:bookmarkStart w:id="1139" w:name="_Toc21016"/>
      <w:bookmarkStart w:id="1140" w:name="_Toc25627_WPSOffice_Level2"/>
      <w:bookmarkStart w:id="1141" w:name="_Toc12201_WPSOffice_Level2"/>
      <w:bookmarkStart w:id="1142" w:name="_Toc405546984"/>
    </w:p>
    <w:p>
      <w:pPr>
        <w:pStyle w:val="4"/>
        <w:rPr>
          <w:highlight w:val="none"/>
        </w:rPr>
      </w:pPr>
      <w:bookmarkStart w:id="1143" w:name="_Toc16153"/>
      <w:r>
        <w:rPr>
          <w:highlight w:val="none"/>
        </w:rPr>
        <w:t>9.3</w:t>
      </w:r>
      <w:r>
        <w:rPr>
          <w:rFonts w:hint="eastAsia"/>
          <w:highlight w:val="none"/>
        </w:rPr>
        <w:t>工程</w:t>
      </w:r>
      <w:r>
        <w:rPr>
          <w:highlight w:val="none"/>
        </w:rPr>
        <w:t>建设对环境的影响</w:t>
      </w:r>
      <w:bookmarkEnd w:id="1133"/>
      <w:bookmarkEnd w:id="1134"/>
      <w:bookmarkEnd w:id="1135"/>
      <w:bookmarkEnd w:id="1136"/>
      <w:bookmarkEnd w:id="1137"/>
      <w:bookmarkEnd w:id="1138"/>
      <w:bookmarkEnd w:id="1139"/>
      <w:bookmarkEnd w:id="1140"/>
      <w:bookmarkEnd w:id="1141"/>
      <w:bookmarkEnd w:id="1143"/>
    </w:p>
    <w:bookmarkEnd w:id="1142"/>
    <w:p>
      <w:pPr>
        <w:pStyle w:val="5"/>
        <w:rPr>
          <w:highlight w:val="none"/>
        </w:rPr>
      </w:pPr>
      <w:r>
        <w:rPr>
          <w:highlight w:val="none"/>
        </w:rPr>
        <w:t>9.3.1项目建设对环境空气的影响</w:t>
      </w:r>
    </w:p>
    <w:p>
      <w:pPr>
        <w:ind w:firstLine="480"/>
        <w:rPr>
          <w:highlight w:val="none"/>
        </w:rPr>
      </w:pPr>
      <w:r>
        <w:rPr>
          <w:highlight w:val="none"/>
        </w:rPr>
        <w:t>环境空气检测结果见表9.3-1。</w:t>
      </w:r>
    </w:p>
    <w:p>
      <w:pPr>
        <w:ind w:firstLine="480"/>
        <w:rPr>
          <w:highlight w:val="none"/>
        </w:rPr>
      </w:pPr>
      <w:r>
        <w:rPr>
          <w:highlight w:val="none"/>
        </w:rPr>
        <w:br w:type="page"/>
      </w:r>
    </w:p>
    <w:p>
      <w:pPr>
        <w:pStyle w:val="48"/>
        <w:rPr>
          <w:highlight w:val="none"/>
        </w:rPr>
      </w:pPr>
      <w:r>
        <w:rPr>
          <w:highlight w:val="none"/>
        </w:rPr>
        <w:t>表9.3-1 环境空气检测结果统计表</w:t>
      </w:r>
    </w:p>
    <w:tbl>
      <w:tblPr>
        <w:tblStyle w:val="34"/>
        <w:tblW w:w="7950" w:type="dxa"/>
        <w:tblInd w:w="641" w:type="dxa"/>
        <w:tblLayout w:type="autofit"/>
        <w:tblCellMar>
          <w:top w:w="0" w:type="dxa"/>
          <w:left w:w="108" w:type="dxa"/>
          <w:bottom w:w="0" w:type="dxa"/>
          <w:right w:w="108" w:type="dxa"/>
        </w:tblCellMar>
      </w:tblPr>
      <w:tblGrid>
        <w:gridCol w:w="1375"/>
        <w:gridCol w:w="1449"/>
        <w:gridCol w:w="1560"/>
        <w:gridCol w:w="1429"/>
        <w:gridCol w:w="2137"/>
      </w:tblGrid>
      <w:tr>
        <w:tblPrEx>
          <w:tblCellMar>
            <w:top w:w="0" w:type="dxa"/>
            <w:left w:w="108" w:type="dxa"/>
            <w:bottom w:w="0" w:type="dxa"/>
            <w:right w:w="108" w:type="dxa"/>
          </w:tblCellMar>
        </w:tblPrEx>
        <w:trPr>
          <w:trHeight w:val="285" w:hRule="atLeast"/>
        </w:trPr>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采样日期</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 xml:space="preserve">  检测点位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检测项目</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频次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rFonts w:hint="eastAsia"/>
                <w:highlight w:val="none"/>
              </w:rPr>
              <w:t>小时平均值（mg/m</w:t>
            </w:r>
            <w:r>
              <w:rPr>
                <w:rFonts w:hint="eastAsia"/>
                <w:highlight w:val="none"/>
                <w:vertAlign w:val="superscript"/>
              </w:rPr>
              <w:t>3</w:t>
            </w:r>
            <w:r>
              <w:rPr>
                <w:rFonts w:hint="eastAsia"/>
                <w:highlight w:val="none"/>
              </w:rPr>
              <w:t>）</w:t>
            </w:r>
          </w:p>
        </w:tc>
      </w:tr>
      <w:tr>
        <w:tblPrEx>
          <w:tblCellMar>
            <w:top w:w="0" w:type="dxa"/>
            <w:left w:w="108" w:type="dxa"/>
            <w:bottom w:w="0" w:type="dxa"/>
            <w:right w:w="108" w:type="dxa"/>
          </w:tblCellMar>
        </w:tblPrEx>
        <w:trPr>
          <w:trHeight w:val="306" w:hRule="atLeast"/>
        </w:trPr>
        <w:tc>
          <w:tcPr>
            <w:tcW w:w="13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2023-12-13</w:t>
            </w: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 xml:space="preserve">  大埝村</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VOCs（以非甲烷总烃</w:t>
            </w:r>
            <w:r>
              <w:rPr>
                <w:highlight w:val="none"/>
              </w:rPr>
              <w:br w:type="textWrapping"/>
            </w:r>
            <w:r>
              <w:rPr>
                <w:highlight w:val="none"/>
              </w:rPr>
              <w:t>计）</w:t>
            </w: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1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0.51</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0.49</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2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0.54</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0.68</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0.57</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3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0.62</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0.63</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0.59</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4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w:t>
            </w:r>
            <w:r>
              <w:rPr>
                <w:rFonts w:hint="eastAsia"/>
                <w:highlight w:val="none"/>
              </w:rPr>
              <w:t>0</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w:t>
            </w:r>
            <w:r>
              <w:rPr>
                <w:rFonts w:hint="eastAsia"/>
                <w:highlight w:val="none"/>
              </w:rPr>
              <w:t>0</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0.66</w:t>
            </w:r>
          </w:p>
        </w:tc>
      </w:tr>
      <w:tr>
        <w:tblPrEx>
          <w:tblCellMar>
            <w:top w:w="0" w:type="dxa"/>
            <w:left w:w="108" w:type="dxa"/>
            <w:bottom w:w="0" w:type="dxa"/>
            <w:right w:w="108" w:type="dxa"/>
          </w:tblCellMar>
        </w:tblPrEx>
        <w:trPr>
          <w:trHeight w:val="306" w:hRule="atLeast"/>
        </w:trPr>
        <w:tc>
          <w:tcPr>
            <w:tcW w:w="13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2023-12-14</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1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0.61</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w:t>
            </w:r>
            <w:r>
              <w:rPr>
                <w:rFonts w:hint="eastAsia"/>
                <w:highlight w:val="none"/>
              </w:rPr>
              <w:t>0</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0.49</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2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w:t>
            </w:r>
            <w:r>
              <w:rPr>
                <w:rFonts w:hint="eastAsia"/>
                <w:highlight w:val="none"/>
              </w:rPr>
              <w:t>0</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0.55</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0.51</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3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0.54</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0.57</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0.52</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第 4 次</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0.55</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0.6</w:t>
            </w:r>
            <w:r>
              <w:rPr>
                <w:rFonts w:hint="eastAsia"/>
                <w:highlight w:val="none"/>
              </w:rPr>
              <w:t>0</w:t>
            </w:r>
          </w:p>
        </w:tc>
      </w:tr>
      <w:tr>
        <w:tblPrEx>
          <w:tblCellMar>
            <w:top w:w="0" w:type="dxa"/>
            <w:left w:w="108" w:type="dxa"/>
            <w:bottom w:w="0" w:type="dxa"/>
            <w:right w:w="108" w:type="dxa"/>
          </w:tblCellMar>
        </w:tblPrEx>
        <w:trPr>
          <w:trHeight w:val="306" w:hRule="atLeast"/>
        </w:trPr>
        <w:tc>
          <w:tcPr>
            <w:tcW w:w="1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4"/>
              <w:rPr>
                <w:highlight w:val="none"/>
              </w:rPr>
            </w:pPr>
            <w:r>
              <w:rPr>
                <w:highlight w:val="none"/>
              </w:rPr>
              <w:t>0.54</w:t>
            </w:r>
          </w:p>
        </w:tc>
      </w:tr>
    </w:tbl>
    <w:p>
      <w:pPr>
        <w:pStyle w:val="72"/>
        <w:ind w:firstLine="480"/>
        <w:jc w:val="left"/>
        <w:rPr>
          <w:rFonts w:hAnsi="Times New Roman"/>
          <w:sz w:val="24"/>
          <w:highlight w:val="none"/>
        </w:rPr>
      </w:pPr>
      <w:r>
        <w:rPr>
          <w:rFonts w:hAnsi="Times New Roman"/>
          <w:kern w:val="0"/>
          <w:sz w:val="24"/>
          <w:highlight w:val="none"/>
        </w:rPr>
        <w:t>由表9.3-1可知，验收监测期间，项目周边敏感点</w:t>
      </w:r>
      <w:r>
        <w:rPr>
          <w:rFonts w:hint="eastAsia" w:hAnsi="Times New Roman"/>
          <w:sz w:val="24"/>
          <w:highlight w:val="none"/>
        </w:rPr>
        <w:t>大埝村</w:t>
      </w:r>
      <w:r>
        <w:rPr>
          <w:rFonts w:hAnsi="Times New Roman"/>
          <w:sz w:val="24"/>
          <w:highlight w:val="none"/>
        </w:rPr>
        <w:t>VOCs(以非甲烷总烃计)最大为0.68mg/m³，符合《大气污染物综合排放标准》（GB 16297-1996）要求。</w:t>
      </w:r>
    </w:p>
    <w:p>
      <w:pPr>
        <w:pStyle w:val="33"/>
        <w:ind w:firstLine="0" w:firstLineChars="0"/>
        <w:rPr>
          <w:highlight w:val="red"/>
        </w:rPr>
      </w:pPr>
    </w:p>
    <w:p>
      <w:pPr>
        <w:ind w:firstLine="480"/>
        <w:jc w:val="center"/>
      </w:pPr>
      <w:r>
        <w:drawing>
          <wp:inline distT="0" distB="0" distL="114300" distR="114300">
            <wp:extent cx="1932305" cy="3279775"/>
            <wp:effectExtent l="0" t="0" r="10795" b="15875"/>
            <wp:docPr id="98"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
                    <pic:cNvPicPr>
                      <a:picLocks noChangeAspect="1"/>
                    </pic:cNvPicPr>
                  </pic:nvPicPr>
                  <pic:blipFill>
                    <a:blip r:embed="rId34"/>
                    <a:stretch>
                      <a:fillRect/>
                    </a:stretch>
                  </pic:blipFill>
                  <pic:spPr>
                    <a:xfrm>
                      <a:off x="0" y="0"/>
                      <a:ext cx="1932305" cy="3279775"/>
                    </a:xfrm>
                    <a:prstGeom prst="rect">
                      <a:avLst/>
                    </a:prstGeom>
                  </pic:spPr>
                </pic:pic>
              </a:graphicData>
            </a:graphic>
          </wp:inline>
        </w:drawing>
      </w:r>
      <w:r>
        <w:rPr>
          <w:rFonts w:hint="eastAsia"/>
        </w:rPr>
        <w:t xml:space="preserve">    </w:t>
      </w:r>
      <w:r>
        <w:drawing>
          <wp:inline distT="0" distB="0" distL="114300" distR="114300">
            <wp:extent cx="2013585" cy="3295015"/>
            <wp:effectExtent l="0" t="0" r="5715" b="635"/>
            <wp:docPr id="99"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5"/>
                    <pic:cNvPicPr>
                      <a:picLocks noChangeAspect="1"/>
                    </pic:cNvPicPr>
                  </pic:nvPicPr>
                  <pic:blipFill>
                    <a:blip r:embed="rId35"/>
                    <a:stretch>
                      <a:fillRect/>
                    </a:stretch>
                  </pic:blipFill>
                  <pic:spPr>
                    <a:xfrm>
                      <a:off x="0" y="0"/>
                      <a:ext cx="2013585" cy="3295015"/>
                    </a:xfrm>
                    <a:prstGeom prst="rect">
                      <a:avLst/>
                    </a:prstGeom>
                  </pic:spPr>
                </pic:pic>
              </a:graphicData>
            </a:graphic>
          </wp:inline>
        </w:drawing>
      </w:r>
    </w:p>
    <w:p>
      <w:pPr>
        <w:ind w:firstLine="480"/>
        <w:jc w:val="center"/>
        <w:sectPr>
          <w:pgSz w:w="11905" w:h="16838"/>
          <w:pgMar w:top="1247" w:right="1247" w:bottom="1247" w:left="1247" w:header="709" w:footer="680" w:gutter="0"/>
          <w:cols w:space="0" w:num="1"/>
          <w:docGrid w:type="lines" w:linePitch="336" w:charSpace="0"/>
        </w:sectPr>
      </w:pPr>
      <w:r>
        <w:rPr>
          <w:rFonts w:hint="eastAsia"/>
        </w:rPr>
        <w:t>现场采样照片</w:t>
      </w:r>
    </w:p>
    <w:p>
      <w:pPr>
        <w:pStyle w:val="3"/>
      </w:pPr>
      <w:bookmarkStart w:id="1144" w:name="_Toc15869_WPSOffice_Level1"/>
      <w:bookmarkStart w:id="1145" w:name="_Toc4232"/>
      <w:bookmarkStart w:id="1146" w:name="_Toc8914_WPSOffice_Level1"/>
      <w:bookmarkStart w:id="1147" w:name="_Toc11852"/>
      <w:bookmarkStart w:id="1148" w:name="_Toc14090_WPSOffice_Level2"/>
      <w:bookmarkStart w:id="1149" w:name="_Toc8410_WPSOffice_Level1"/>
      <w:bookmarkStart w:id="1150" w:name="_Toc13563"/>
      <w:bookmarkStart w:id="1151" w:name="_Toc2424_WPSOffice_Level1"/>
      <w:bookmarkStart w:id="1152" w:name="_Toc18432"/>
      <w:bookmarkStart w:id="1153" w:name="_Toc29596"/>
      <w:bookmarkStart w:id="1154" w:name="_Toc30336"/>
      <w:r>
        <w:t>第十章 环评批复落实情况</w:t>
      </w:r>
      <w:bookmarkEnd w:id="1144"/>
      <w:bookmarkEnd w:id="1145"/>
      <w:bookmarkEnd w:id="1146"/>
      <w:bookmarkEnd w:id="1147"/>
      <w:bookmarkEnd w:id="1148"/>
      <w:bookmarkEnd w:id="1149"/>
      <w:bookmarkEnd w:id="1150"/>
      <w:bookmarkEnd w:id="1151"/>
      <w:bookmarkEnd w:id="1152"/>
      <w:bookmarkEnd w:id="1153"/>
      <w:bookmarkEnd w:id="1154"/>
    </w:p>
    <w:p>
      <w:pPr>
        <w:ind w:firstLine="480"/>
      </w:pPr>
      <w:bookmarkStart w:id="1155" w:name="_Toc8530"/>
      <w:bookmarkStart w:id="1156" w:name="_Toc15481_WPSOffice_Level2"/>
      <w:bookmarkStart w:id="1157" w:name="_Toc19710"/>
      <w:bookmarkStart w:id="1158" w:name="_Toc2627"/>
      <w:bookmarkStart w:id="1159" w:name="_Toc22345_WPSOffice_Level2"/>
      <w:bookmarkStart w:id="1160" w:name="_Toc13454_WPSOffice_Level2"/>
      <w:bookmarkStart w:id="1161" w:name="_Toc31706_WPSOffice_Level2"/>
      <w:bookmarkStart w:id="1162" w:name="_Toc1190"/>
      <w:bookmarkStart w:id="1163" w:name="_Toc28594"/>
      <w:bookmarkStart w:id="1164" w:name="_Toc17544"/>
      <w:r>
        <w:t>环评批复落实情况</w:t>
      </w:r>
      <w:bookmarkEnd w:id="1155"/>
      <w:bookmarkEnd w:id="1156"/>
      <w:bookmarkEnd w:id="1157"/>
      <w:bookmarkEnd w:id="1158"/>
      <w:bookmarkEnd w:id="1159"/>
      <w:bookmarkEnd w:id="1160"/>
      <w:bookmarkEnd w:id="1161"/>
      <w:bookmarkEnd w:id="1162"/>
      <w:bookmarkEnd w:id="1163"/>
      <w:bookmarkEnd w:id="1164"/>
      <w:r>
        <w:rPr>
          <w:rFonts w:hint="eastAsia"/>
        </w:rPr>
        <w:t>见下表</w:t>
      </w:r>
      <w:r>
        <w:t>10-1</w:t>
      </w:r>
      <w:r>
        <w:rPr>
          <w:rFonts w:hint="eastAsia"/>
        </w:rPr>
        <w:t>。</w:t>
      </w:r>
    </w:p>
    <w:p>
      <w:pPr>
        <w:ind w:firstLine="480"/>
        <w:jc w:val="center"/>
        <w:rPr>
          <w:rFonts w:eastAsia="黑体"/>
        </w:rPr>
      </w:pPr>
      <w:bookmarkStart w:id="1165" w:name="_Toc1096_WPSOffice_Level3"/>
      <w:bookmarkStart w:id="1166" w:name="_Toc8564_WPSOffice_Level3"/>
      <w:r>
        <w:rPr>
          <w:rFonts w:eastAsia="黑体"/>
        </w:rPr>
        <w:t>表10-1 环评批复落实情况对照表</w:t>
      </w:r>
      <w:bookmarkEnd w:id="1165"/>
      <w:bookmarkEnd w:id="1166"/>
    </w:p>
    <w:tbl>
      <w:tblPr>
        <w:tblStyle w:val="3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4560"/>
        <w:gridCol w:w="3711"/>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序号</w:t>
            </w:r>
          </w:p>
        </w:tc>
        <w:tc>
          <w:tcPr>
            <w:tcW w:w="2371" w:type="pct"/>
            <w:vAlign w:val="center"/>
          </w:tcPr>
          <w:p>
            <w:pPr>
              <w:pStyle w:val="44"/>
            </w:pPr>
            <w:r>
              <w:t>环评批复内容</w:t>
            </w:r>
          </w:p>
        </w:tc>
        <w:tc>
          <w:tcPr>
            <w:tcW w:w="1930" w:type="pct"/>
            <w:shd w:val="clear" w:color="auto" w:fill="auto"/>
            <w:vAlign w:val="center"/>
          </w:tcPr>
          <w:p>
            <w:pPr>
              <w:pStyle w:val="44"/>
            </w:pPr>
            <w:r>
              <w:t>实际建设（安装）情况</w:t>
            </w:r>
          </w:p>
        </w:tc>
        <w:tc>
          <w:tcPr>
            <w:tcW w:w="363" w:type="pct"/>
            <w:shd w:val="clear" w:color="auto" w:fill="auto"/>
            <w:vAlign w:val="center"/>
          </w:tcPr>
          <w:p>
            <w:pPr>
              <w:pStyle w:val="44"/>
            </w:pPr>
            <w: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一</w:t>
            </w:r>
          </w:p>
        </w:tc>
        <w:tc>
          <w:tcPr>
            <w:tcW w:w="2371" w:type="pct"/>
            <w:vAlign w:val="center"/>
          </w:tcPr>
          <w:p>
            <w:pPr>
              <w:pStyle w:val="44"/>
              <w:ind w:firstLine="420" w:firstLineChars="200"/>
              <w:jc w:val="left"/>
            </w:pPr>
            <w:r>
              <w:t>该项目建设地点位于枣庄市峰城区吴林街道吴林大捻园。项目占地面积 7761平方米，新建生产车间、办公楼一座，购置智能激光切割机、全自动激光除锈机、智能切割机、智能焊接机器人等设备，外购钢材、焊丝、涂料等原料生产智能木业码垛机械设备1000套。该项目总投资4500万元，其中环保投资100万元该项目符合国家产业政策，已取得备案文件(备案号:2203-370404-04-01-581452)。根据环评文件分析，在落实各项环保措施后，所排放的各种污染物能够达到国家相关标准要求对周围环境的影响可满足环境保护的要求。从环保角度分析，本项目建设可行。</w:t>
            </w:r>
          </w:p>
        </w:tc>
        <w:tc>
          <w:tcPr>
            <w:tcW w:w="1930" w:type="pct"/>
            <w:shd w:val="clear" w:color="auto" w:fill="auto"/>
            <w:vAlign w:val="center"/>
          </w:tcPr>
          <w:p>
            <w:pPr>
              <w:pStyle w:val="44"/>
              <w:jc w:val="left"/>
            </w:pPr>
            <w:r>
              <w:t>该项目建设地点位于枣庄市峰城区吴林街道吴林大捻园。项目占地面积 7761平方米，新建生产车间、办公楼一座，购置智能激光切割机、全自动激光除锈机、智能切割机、智能焊接机器人等设备，外购钢材、焊丝、涂料等原料生产智能木业码垛机械设备1000套。该项目总投资4</w:t>
            </w:r>
            <w:r>
              <w:rPr>
                <w:rFonts w:hint="eastAsia"/>
              </w:rPr>
              <w:t>386.3</w:t>
            </w:r>
            <w:r>
              <w:t>万元，其中环保投资</w:t>
            </w:r>
            <w:r>
              <w:rPr>
                <w:rFonts w:hint="eastAsia"/>
              </w:rPr>
              <w:t>98.8</w:t>
            </w:r>
            <w:r>
              <w:t>万元该项目符合国家产业政策，已取得备案文件(备案号:2203-370404-04-01-581452)。根据环评文件分析，在落实各项环保措施后，所排放的各种污染物能够达到国家相关标准要求对周围环境的影响可满足环境保护的要求。从环保角度分析，本项目建设可行。</w:t>
            </w:r>
          </w:p>
        </w:tc>
        <w:tc>
          <w:tcPr>
            <w:tcW w:w="363" w:type="pct"/>
            <w:shd w:val="clear" w:color="auto" w:fill="auto"/>
            <w:vAlign w:val="center"/>
          </w:tcPr>
          <w:p>
            <w:pPr>
              <w:pStyle w:val="44"/>
            </w:pPr>
            <w: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二</w:t>
            </w:r>
          </w:p>
        </w:tc>
        <w:tc>
          <w:tcPr>
            <w:tcW w:w="4301" w:type="pct"/>
            <w:gridSpan w:val="2"/>
            <w:vAlign w:val="center"/>
          </w:tcPr>
          <w:p>
            <w:pPr>
              <w:pStyle w:val="44"/>
              <w:jc w:val="left"/>
            </w:pPr>
            <w:r>
              <w:t>项目建设和运行管理中应重点做好以下工作：</w:t>
            </w:r>
          </w:p>
        </w:tc>
        <w:tc>
          <w:tcPr>
            <w:tcW w:w="363" w:type="pct"/>
            <w:vAlign w:val="center"/>
          </w:tcPr>
          <w:p>
            <w:pPr>
              <w:pStyle w:val="44"/>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(一)</w:t>
            </w:r>
          </w:p>
        </w:tc>
        <w:tc>
          <w:tcPr>
            <w:tcW w:w="2371" w:type="pct"/>
            <w:vAlign w:val="center"/>
          </w:tcPr>
          <w:p>
            <w:pPr>
              <w:pStyle w:val="44"/>
              <w:ind w:firstLine="420" w:firstLineChars="200"/>
              <w:jc w:val="left"/>
            </w:pPr>
            <w:r>
              <w:t xml:space="preserve"> 加强施工期环境管理。严格执行《山东省扬污染防治管理办法》等相关规定，落实扬尘治理措施。落实施工期固应处置措施。控制施工噪声影响，夜间施工须向当地主管部门报告经同意后方可进行，并进行公示.</w:t>
            </w:r>
          </w:p>
        </w:tc>
        <w:tc>
          <w:tcPr>
            <w:tcW w:w="1930" w:type="pct"/>
            <w:vAlign w:val="center"/>
          </w:tcPr>
          <w:p>
            <w:pPr>
              <w:pStyle w:val="44"/>
              <w:ind w:firstLine="420" w:firstLineChars="200"/>
            </w:pPr>
            <w:r>
              <w:t>/</w:t>
            </w:r>
          </w:p>
        </w:tc>
        <w:tc>
          <w:tcPr>
            <w:tcW w:w="363" w:type="pct"/>
            <w:vAlign w:val="center"/>
          </w:tcPr>
          <w:p>
            <w:pPr>
              <w:pStyle w:val="44"/>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(二)</w:t>
            </w:r>
          </w:p>
        </w:tc>
        <w:tc>
          <w:tcPr>
            <w:tcW w:w="2371" w:type="pct"/>
            <w:vAlign w:val="center"/>
          </w:tcPr>
          <w:p>
            <w:pPr>
              <w:pStyle w:val="44"/>
              <w:ind w:firstLine="420" w:firstLineChars="200"/>
              <w:jc w:val="left"/>
            </w:pPr>
            <w:r>
              <w:t>强化大气污染防治措施。项目废气主要为打磨废气</w:t>
            </w:r>
            <w:r>
              <w:rPr>
                <w:rFonts w:hint="eastAsia"/>
              </w:rPr>
              <w:t>、</w:t>
            </w:r>
            <w:r>
              <w:t>喷粉废气、喷漆废气、固化烘干废气、切割废气、焊接烟尘等打磨废气被抽风机收集后通过“集气罩+布袋除尘器”处理由 15m高排气筒 (DA001)排放</w:t>
            </w:r>
            <w:r>
              <w:rPr>
                <w:rFonts w:hint="eastAsia"/>
              </w:rPr>
              <w:t>；</w:t>
            </w:r>
            <w:r>
              <w:t>喷粉废气被抽风机收集后通过“集气罩+布袋除尘器”处理由15m高排气简 (DA002)排放</w:t>
            </w:r>
            <w:r>
              <w:rPr>
                <w:rFonts w:hint="eastAsia"/>
              </w:rPr>
              <w:t>；</w:t>
            </w:r>
            <w:r>
              <w:t>喷漆、烘于固化废气经负压收集+</w:t>
            </w:r>
            <w:r>
              <w:rPr>
                <w:rFonts w:hint="eastAsia"/>
              </w:rPr>
              <w:t>干</w:t>
            </w:r>
            <w:r>
              <w:t>式过滤+活性炭吸附浓缩+催化燃烧+15m高排气筒 (DA003)排放</w:t>
            </w:r>
            <w:r>
              <w:rPr>
                <w:rFonts w:hint="eastAsia"/>
              </w:rPr>
              <w:t>；</w:t>
            </w:r>
            <w:r>
              <w:t>切割废气、焊接烟尘由车间内无组织排放。根据环评文件，喷塑颗粒物执行《区域性大气污染物综合排放标准》(DB37/2376-2019)表1一般控制区标准要求。VOCs排放浓度、排放速率、无组织排放分别执行《挥发性有机物排放标准 第5部分:表面涂装行业》 (DB37/2801.5-2018)表2、表3中限值要求。厂区内 VOCs 无组织排放监控点浓度符合《挥发性有机物无组织排放控制标准》(</w:t>
            </w:r>
            <w:r>
              <w:rPr>
                <w:rFonts w:hint="eastAsia"/>
                <w:lang w:eastAsia="zh-CN"/>
              </w:rPr>
              <w:t>GB</w:t>
            </w:r>
            <w:r>
              <w:t>37822-2019)附录A表A1中排放限值要求。</w:t>
            </w:r>
          </w:p>
          <w:p>
            <w:pPr>
              <w:pStyle w:val="44"/>
              <w:ind w:firstLine="420" w:firstLineChars="200"/>
              <w:jc w:val="left"/>
            </w:pPr>
            <w:r>
              <w:t>加强颗粒物的的收集处理措施，在具备安全条件下，车</w:t>
            </w:r>
            <w:r>
              <w:rPr>
                <w:rFonts w:hint="eastAsia"/>
              </w:rPr>
              <w:t>间</w:t>
            </w:r>
            <w:r>
              <w:t>不得直接机械排风，生产期间做好车间内封闭措施，通风换气依靠处理设施进行通风，减少无组织废气排放。</w:t>
            </w:r>
          </w:p>
          <w:p>
            <w:pPr>
              <w:pStyle w:val="44"/>
              <w:ind w:firstLine="420" w:firstLineChars="200"/>
              <w:jc w:val="left"/>
            </w:pPr>
            <w:r>
              <w:t>开展竣工环保验收工作期间，通过项目有组织污染物、无组织污染物及附近敏感目标处特征污染物(包括背景值)测结果进一步评估项目废气污染物最大落地浓度、落地距离，根据相关敏感目标处落地浓度及厂界污染物浓度，分析项目废气污染物排放对周围环境及附近敏感目标的影响大小，从而进一步加强防治措施，须控制废气污染物影响情况在环评文件预测范围之内，厂界周边不得存在项目特征性粉尘及异味，且确保生产期不引起项目周边敏感目标区域大气环境质量的恶化。</w:t>
            </w:r>
          </w:p>
        </w:tc>
        <w:tc>
          <w:tcPr>
            <w:tcW w:w="1930" w:type="pct"/>
            <w:vAlign w:val="center"/>
          </w:tcPr>
          <w:p>
            <w:pPr>
              <w:pStyle w:val="44"/>
              <w:ind w:firstLine="420" w:firstLineChars="200"/>
              <w:jc w:val="left"/>
            </w:pPr>
            <w:r>
              <w:t>项目废气主要为打磨废气</w:t>
            </w:r>
            <w:r>
              <w:rPr>
                <w:rFonts w:hint="eastAsia"/>
              </w:rPr>
              <w:t>、</w:t>
            </w:r>
            <w:r>
              <w:t>喷粉废气、喷漆废气、固化烘干废气、切割废气、焊接烟尘等打磨废气被抽风机收集后通过“集气罩+布袋除尘器”处理由 15m高排气筒 (DA001)排放</w:t>
            </w:r>
            <w:r>
              <w:rPr>
                <w:rFonts w:hint="eastAsia"/>
              </w:rPr>
              <w:t>；</w:t>
            </w:r>
            <w:r>
              <w:t>喷粉废气被抽风机收集后通过“集气罩+布袋除尘器”处理由15m高排气简 (DA002)排放</w:t>
            </w:r>
            <w:r>
              <w:rPr>
                <w:rFonts w:hint="eastAsia"/>
              </w:rPr>
              <w:t>；</w:t>
            </w:r>
            <w:r>
              <w:t>喷漆、烘于固化废气经负压收集+</w:t>
            </w:r>
            <w:r>
              <w:rPr>
                <w:rFonts w:hint="eastAsia"/>
              </w:rPr>
              <w:t>干</w:t>
            </w:r>
            <w:r>
              <w:t>式过滤+活性炭吸附浓缩+催化燃烧+15m高排气筒 (DA003)排放</w:t>
            </w:r>
            <w:r>
              <w:rPr>
                <w:rFonts w:hint="eastAsia"/>
              </w:rPr>
              <w:t>；</w:t>
            </w:r>
            <w:r>
              <w:t>切割废气、焊接烟尘由车间内无组织排放。喷塑颗粒物</w:t>
            </w:r>
            <w:r>
              <w:rPr>
                <w:rFonts w:hint="eastAsia"/>
              </w:rPr>
              <w:t>达到了</w:t>
            </w:r>
            <w:r>
              <w:t>《区域性大气污染物综合排放标准》(DB37/2376-2019)表1一般控制区标准要求。VOCs排放浓度、排放速率、无组织排放分别</w:t>
            </w:r>
            <w:r>
              <w:rPr>
                <w:rFonts w:hint="eastAsia"/>
              </w:rPr>
              <w:t>达到了</w:t>
            </w:r>
            <w:r>
              <w:t>《挥发性有机物排放标准 第5部分:表面涂装行业》 (DB37/2801.5-2018)表2、表3中限值要求。厂区内 VOCs 无组织排放监控点浓度</w:t>
            </w:r>
            <w:r>
              <w:rPr>
                <w:rFonts w:hint="eastAsia"/>
              </w:rPr>
              <w:t>达到</w:t>
            </w:r>
            <w:r>
              <w:t>《挥发性有机物无组织排放控制标准》(</w:t>
            </w:r>
            <w:r>
              <w:rPr>
                <w:rFonts w:hint="eastAsia"/>
                <w:lang w:eastAsia="zh-CN"/>
              </w:rPr>
              <w:t>GB</w:t>
            </w:r>
            <w:r>
              <w:t>37822-2019)附录A表A1中排放限值要求。</w:t>
            </w:r>
          </w:p>
          <w:p>
            <w:pPr>
              <w:pStyle w:val="44"/>
              <w:ind w:firstLine="420" w:firstLineChars="200"/>
              <w:jc w:val="left"/>
            </w:pPr>
            <w:r>
              <w:t>加强颗粒物的的收集处理措施，在具备安全条件下，车</w:t>
            </w:r>
            <w:r>
              <w:rPr>
                <w:rFonts w:hint="eastAsia"/>
              </w:rPr>
              <w:t>间无</w:t>
            </w:r>
            <w:r>
              <w:t>直接机械排风</w:t>
            </w:r>
            <w:r>
              <w:rPr>
                <w:rFonts w:hint="eastAsia"/>
              </w:rPr>
              <w:t>情况</w:t>
            </w:r>
            <w:r>
              <w:t>，生产期间做好车间内封闭措施，通风换气依靠处理设施进行通风，减少无组织废气排放。</w:t>
            </w:r>
          </w:p>
          <w:p>
            <w:pPr>
              <w:pStyle w:val="44"/>
              <w:ind w:firstLine="420" w:firstLineChars="200"/>
              <w:jc w:val="left"/>
            </w:pPr>
            <w:r>
              <w:t>竣工环保验收工作期间，项目有组织污染物、无组织污染物及附近敏感目标处特征污染物(包括背景值)</w:t>
            </w:r>
            <w:r>
              <w:rPr>
                <w:rFonts w:hint="eastAsia"/>
              </w:rPr>
              <w:t>检</w:t>
            </w:r>
            <w:r>
              <w:t>测结果</w:t>
            </w:r>
            <w:r>
              <w:rPr>
                <w:rFonts w:hint="eastAsia"/>
              </w:rPr>
              <w:t>均在相关标准浓度限值之内。本</w:t>
            </w:r>
            <w:r>
              <w:t>项目废气污染物排放对周围环境及附近敏感目标的影响</w:t>
            </w:r>
            <w:r>
              <w:rPr>
                <w:rFonts w:hint="eastAsia"/>
              </w:rPr>
              <w:t>较小</w:t>
            </w:r>
            <w:r>
              <w:t>，生产期</w:t>
            </w:r>
            <w:r>
              <w:rPr>
                <w:rFonts w:hint="eastAsia"/>
              </w:rPr>
              <w:t>未</w:t>
            </w:r>
            <w:r>
              <w:t>引起项目周边敏感目标区域大气环境质量恶化。</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(三)</w:t>
            </w:r>
          </w:p>
        </w:tc>
        <w:tc>
          <w:tcPr>
            <w:tcW w:w="2371" w:type="pct"/>
            <w:vAlign w:val="center"/>
          </w:tcPr>
          <w:p>
            <w:pPr>
              <w:pStyle w:val="44"/>
              <w:ind w:firstLine="420" w:firstLineChars="200"/>
              <w:jc w:val="left"/>
              <w:rPr>
                <w:highlight w:val="none"/>
              </w:rPr>
            </w:pPr>
            <w:r>
              <w:rPr>
                <w:highlight w:val="none"/>
              </w:rPr>
              <w:t>严格落实水污染防治措施。厂区排水采用“雨污分流制”，雨水经落水管排至室外沟渠。项目废水为生活污水，厂区设置地埋式生活污水处理站 1座，处理工艺为厌氧--好氧一出水出水水质满足《城市污水再生利用 绿地灌溉水质》 (</w:t>
            </w:r>
            <w:r>
              <w:rPr>
                <w:rFonts w:hint="eastAsia"/>
                <w:highlight w:val="none"/>
                <w:lang w:eastAsia="zh-CN"/>
              </w:rPr>
              <w:t>GB</w:t>
            </w:r>
            <w:r>
              <w:rPr>
                <w:highlight w:val="none"/>
              </w:rPr>
              <w:t>/T25499-2010)标准后后回用于厂区绿化，不外排。</w:t>
            </w:r>
          </w:p>
        </w:tc>
        <w:tc>
          <w:tcPr>
            <w:tcW w:w="1930" w:type="pct"/>
            <w:vAlign w:val="center"/>
          </w:tcPr>
          <w:p>
            <w:pPr>
              <w:pStyle w:val="44"/>
              <w:ind w:firstLine="420" w:firstLineChars="200"/>
              <w:jc w:val="left"/>
              <w:rPr>
                <w:highlight w:val="none"/>
              </w:rPr>
            </w:pPr>
            <w:r>
              <w:rPr>
                <w:rFonts w:hint="eastAsia"/>
                <w:highlight w:val="none"/>
              </w:rPr>
              <w:t>已</w:t>
            </w:r>
            <w:r>
              <w:rPr>
                <w:highlight w:val="none"/>
              </w:rPr>
              <w:t>严格落实水污染防治措施。厂区排水采用“雨污分流制”，雨水经落水管排至室外沟渠。项目废水为生活污水，厂区设置生活污水处理站 1座</w:t>
            </w:r>
            <w:r>
              <w:rPr>
                <w:rFonts w:hint="eastAsia"/>
                <w:highlight w:val="none"/>
              </w:rPr>
              <w:t>，</w:t>
            </w:r>
            <w:r>
              <w:rPr>
                <w:highlight w:val="none"/>
              </w:rPr>
              <w:t>处理工艺为厌氧--好氧一出水出水水质满足《城市污水再生利用 绿地灌溉水质》 (</w:t>
            </w:r>
            <w:r>
              <w:rPr>
                <w:rFonts w:hint="eastAsia"/>
                <w:highlight w:val="none"/>
                <w:lang w:eastAsia="zh-CN"/>
              </w:rPr>
              <w:t>GB</w:t>
            </w:r>
            <w:r>
              <w:rPr>
                <w:highlight w:val="none"/>
              </w:rPr>
              <w:t>/T25499-2010)标准后后回用于厂区绿化，不外排。</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rPr>
                <w:lang w:val="zh-TW"/>
              </w:rPr>
              <w:t>(四)</w:t>
            </w:r>
          </w:p>
        </w:tc>
        <w:tc>
          <w:tcPr>
            <w:tcW w:w="2371" w:type="pct"/>
            <w:vAlign w:val="center"/>
          </w:tcPr>
          <w:p>
            <w:pPr>
              <w:pStyle w:val="44"/>
              <w:ind w:firstLine="420" w:firstLineChars="200"/>
              <w:jc w:val="left"/>
            </w:pPr>
            <w:r>
              <w:t>强化噪声污染防治。本项目噪声主要有切割机、车床电焊机、风机等设备运转产生的噪声。噪声源采取减振、厂房隔声等消声降噪后措施降低噪声影响，确保厂界噪声满足《工业企业厂界环境噪声排放标准》 (GB12348-2008)2类标准要求</w:t>
            </w:r>
            <w:r>
              <w:rPr>
                <w:rFonts w:hint="eastAsia"/>
              </w:rPr>
              <w:t>。</w:t>
            </w:r>
          </w:p>
        </w:tc>
        <w:tc>
          <w:tcPr>
            <w:tcW w:w="1930" w:type="pct"/>
            <w:vAlign w:val="center"/>
          </w:tcPr>
          <w:p>
            <w:pPr>
              <w:pStyle w:val="44"/>
              <w:ind w:firstLine="420" w:firstLineChars="200"/>
              <w:jc w:val="left"/>
              <w:rPr>
                <w:lang w:val="zh-TW" w:eastAsia="zh-TW"/>
              </w:rPr>
            </w:pPr>
            <w:r>
              <w:t>本项目噪声主要有切割机、车床电焊机、风机等设备运转产生的噪声。噪声源采取减振、厂房隔声等消声降噪后措施降低噪声影响，确保厂界噪声满足《工业企业厂界环境噪声排放标准》 (GB12348-2008)2类标准要求</w:t>
            </w:r>
            <w:r>
              <w:rPr>
                <w:rFonts w:hint="eastAsia"/>
              </w:rPr>
              <w:t>。</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rPr>
                <w:lang w:val="zh-TW"/>
              </w:rPr>
              <w:t>(五)</w:t>
            </w:r>
          </w:p>
        </w:tc>
        <w:tc>
          <w:tcPr>
            <w:tcW w:w="2371" w:type="pct"/>
            <w:vAlign w:val="center"/>
          </w:tcPr>
          <w:p>
            <w:pPr>
              <w:pStyle w:val="44"/>
              <w:ind w:firstLine="420" w:firstLineChars="200"/>
              <w:jc w:val="left"/>
            </w:pPr>
            <w:r>
              <w:t>严格落实固体废物分类处置和综合利用措施。项目主要固废为生活垃圾、下脚料、废焊渣及焊头、塑粉废包装物、机加工除尘器收尘、喷粉除尘器收尘、废切削液及桶、漆渣、废过滤纸、废活性炭、废催化剂、废机油及桶、废漆桶等。生活垃圾由环卫部门清运</w:t>
            </w:r>
            <w:r>
              <w:rPr>
                <w:rFonts w:hint="eastAsia"/>
              </w:rPr>
              <w:t>；</w:t>
            </w:r>
            <w:r>
              <w:t>下脚料、废焊渣及焊头、塑粉废包装物、机加工除尘器收集收尘定期售 于废品收购站，喷粉除尘器收集的粉尘收集后回用于生产，漆渣、废漆桶由供货厂家直接进行回收。一般工业固废存储应满足《一般工业固体废物贮存和填埋污染控制标准》(GB18599-2020)要求</w:t>
            </w:r>
            <w:r>
              <w:rPr>
                <w:rFonts w:hint="eastAsia"/>
              </w:rPr>
              <w:t>。</w:t>
            </w:r>
          </w:p>
          <w:p>
            <w:pPr>
              <w:pStyle w:val="44"/>
              <w:ind w:firstLine="420" w:firstLineChars="200"/>
              <w:jc w:val="left"/>
            </w:pPr>
            <w:r>
              <w:t>项目危险废物主要包括废切削液及桶、废机油及桶、废过滤纸、废活性炭、废催化剂委托有资质单位回收处置。在厂内危废暂存间暂存后，委托有资质单位处置。危险废物贮存应符合《危险废物贮存污染控制标准》(</w:t>
            </w:r>
            <w:r>
              <w:rPr>
                <w:rFonts w:hint="eastAsia"/>
                <w:lang w:eastAsia="zh-CN"/>
              </w:rPr>
              <w:t>GB</w:t>
            </w:r>
            <w:r>
              <w:t>18597-2001)及其修改单的要求转移及管理等工作应严格按照危废管理相关要求执行</w:t>
            </w:r>
          </w:p>
          <w:p>
            <w:pPr>
              <w:pStyle w:val="44"/>
              <w:ind w:firstLine="420" w:firstLineChars="200"/>
              <w:jc w:val="left"/>
              <w:rPr>
                <w:lang w:val="zh-TW" w:eastAsia="zh-TW"/>
              </w:rPr>
            </w:pPr>
            <w:r>
              <w:t>生产中若产生环评文件未包括固体废物，应严格按照固体废物分类处置和综合利用进行管理</w:t>
            </w:r>
          </w:p>
        </w:tc>
        <w:tc>
          <w:tcPr>
            <w:tcW w:w="1930" w:type="pct"/>
            <w:vAlign w:val="center"/>
          </w:tcPr>
          <w:p>
            <w:pPr>
              <w:pStyle w:val="44"/>
              <w:ind w:firstLine="420" w:firstLineChars="200"/>
              <w:jc w:val="left"/>
            </w:pPr>
            <w:r>
              <w:t>严格落实固体废物分类处置和综合利用措施。项目主要固废为生活垃圾、下脚料、废焊渣及焊头、塑粉废包装物、机加工除尘器收尘、喷粉除尘器收尘、废切削液及桶、漆渣、废过滤纸、废活性炭、废催化剂、废机油及桶、废漆桶等。生活垃圾由环卫部门清运</w:t>
            </w:r>
            <w:r>
              <w:rPr>
                <w:rFonts w:hint="eastAsia"/>
              </w:rPr>
              <w:t>；</w:t>
            </w:r>
            <w:r>
              <w:t>下脚料、废焊渣及焊头、塑粉废包装物、机加工除尘器收集收尘定期售于废品收购站，喷粉除尘器收集的粉尘收集后回用于生产，漆渣、废漆桶由供货厂家直接进行回收。一般工业固废存储应满足《一般工业固体废物贮存和填埋污染控制标准》(GB18599-2020)要求</w:t>
            </w:r>
            <w:r>
              <w:rPr>
                <w:rFonts w:hint="eastAsia"/>
              </w:rPr>
              <w:t>。</w:t>
            </w:r>
          </w:p>
          <w:p>
            <w:pPr>
              <w:pStyle w:val="44"/>
              <w:ind w:firstLine="420" w:firstLineChars="200"/>
              <w:jc w:val="left"/>
              <w:rPr>
                <w:lang w:val="zh-TW" w:eastAsia="zh-TW"/>
              </w:rPr>
            </w:pPr>
            <w:r>
              <w:t>项目危险废物主要包括废切削液及桶、废机油及桶、废过滤纸、废活性炭、废催化剂委托有资质单位回收处置。在厂内危废暂存间暂存后，委托有资质单位处置。危险废物贮存符合</w:t>
            </w:r>
            <w:r>
              <w:rPr>
                <w:rFonts w:hint="eastAsia"/>
              </w:rPr>
              <w:t>《危险废物贮存污染控制标准》（GB18597-2023）。</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rPr>
                <w:lang w:val="zh-TW"/>
              </w:rPr>
              <w:t>(六)</w:t>
            </w:r>
          </w:p>
        </w:tc>
        <w:tc>
          <w:tcPr>
            <w:tcW w:w="2371" w:type="pct"/>
            <w:vAlign w:val="center"/>
          </w:tcPr>
          <w:p>
            <w:pPr>
              <w:pStyle w:val="44"/>
              <w:ind w:firstLine="420" w:firstLineChars="200"/>
              <w:jc w:val="left"/>
              <w:rPr>
                <w:lang w:val="zh-TW"/>
              </w:rPr>
            </w:pPr>
            <w:r>
              <w:t>强化环境风险防范和应急措施。项目要落实事故环境风险防范及环境安全突发事故应急处理的综合预案并定期演练配备必要的事故防范应急设施、设备。</w:t>
            </w:r>
          </w:p>
        </w:tc>
        <w:tc>
          <w:tcPr>
            <w:tcW w:w="1930" w:type="pct"/>
            <w:vAlign w:val="center"/>
          </w:tcPr>
          <w:p>
            <w:pPr>
              <w:pStyle w:val="44"/>
              <w:ind w:firstLine="420" w:firstLineChars="200"/>
              <w:jc w:val="left"/>
            </w:pPr>
            <w:r>
              <w:t>强化环境风险防范和应急措施。项目落实</w:t>
            </w:r>
            <w:r>
              <w:rPr>
                <w:rFonts w:hint="eastAsia"/>
              </w:rPr>
              <w:t>了</w:t>
            </w:r>
            <w:r>
              <w:t>事故环境风险防范及环境安全突发事故应急处理的综合预案并定期演练配备必要的事故防范应急设施、设备。</w:t>
            </w:r>
            <w:r>
              <w:rPr>
                <w:rFonts w:hint="eastAsia"/>
              </w:rPr>
              <w:t>突发环境事件应急预案</w:t>
            </w:r>
            <w:r>
              <w:t>备案编号：</w:t>
            </w:r>
            <w:r>
              <w:rPr>
                <w:rFonts w:hint="eastAsia"/>
              </w:rPr>
              <w:t>370404-2022-62-L。</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rPr>
                <w:lang w:val="zh-TW"/>
              </w:rPr>
              <w:t>(</w:t>
            </w:r>
            <w:r>
              <w:rPr>
                <w:lang w:val="zh-TW" w:eastAsia="zh-TW"/>
              </w:rPr>
              <w:t>七</w:t>
            </w:r>
            <w:r>
              <w:rPr>
                <w:lang w:val="zh-TW"/>
              </w:rPr>
              <w:t>)</w:t>
            </w:r>
          </w:p>
        </w:tc>
        <w:tc>
          <w:tcPr>
            <w:tcW w:w="2371" w:type="pct"/>
            <w:vAlign w:val="center"/>
          </w:tcPr>
          <w:p>
            <w:pPr>
              <w:pStyle w:val="44"/>
              <w:ind w:firstLine="420" w:firstLineChars="200"/>
              <w:jc w:val="left"/>
              <w:rPr>
                <w:lang w:val="zh-TW" w:eastAsia="zh-TW"/>
              </w:rPr>
            </w:pPr>
            <w:r>
              <w:t>按规定设置环境保护设施标识牌、标示治理工艺流程图。设置环境保护设施管理台账。制定环境保护设施运行操作规程和环保措施管理制度，明确环保专职负责人员。制定环境保护设施运行操作规程和环保措施管理制度，明确环保专职负责人员</w:t>
            </w:r>
          </w:p>
        </w:tc>
        <w:tc>
          <w:tcPr>
            <w:tcW w:w="1930" w:type="pct"/>
            <w:vAlign w:val="center"/>
          </w:tcPr>
          <w:p>
            <w:pPr>
              <w:pStyle w:val="44"/>
              <w:ind w:firstLine="420" w:firstLineChars="200"/>
              <w:jc w:val="left"/>
              <w:rPr>
                <w:lang w:val="zh-TW"/>
              </w:rPr>
            </w:pPr>
            <w:r>
              <w:t>按规定设置</w:t>
            </w:r>
            <w:r>
              <w:rPr>
                <w:rFonts w:hint="eastAsia"/>
              </w:rPr>
              <w:t>了</w:t>
            </w:r>
            <w:r>
              <w:t>环境保护设施标识牌、标示治理工艺流程图。设置环境保护设施管理台账。制定环境保护设施运行操作规程和环保措施管理制度，明确环保专职负责人员。制定环境保护设施运行操作规程和环保措施管理制度，明确环保专职负责人员</w:t>
            </w:r>
            <w:r>
              <w:rPr>
                <w:rFonts w:hint="eastAsia"/>
              </w:rPr>
              <w:t>。</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rPr>
                <w:lang w:val="zh-TW"/>
              </w:rPr>
              <w:t>(</w:t>
            </w:r>
            <w:r>
              <w:rPr>
                <w:lang w:val="zh-TW" w:eastAsia="zh-TW"/>
              </w:rPr>
              <w:t>八</w:t>
            </w:r>
            <w:r>
              <w:rPr>
                <w:lang w:val="zh-TW"/>
              </w:rPr>
              <w:t>)</w:t>
            </w:r>
          </w:p>
        </w:tc>
        <w:tc>
          <w:tcPr>
            <w:tcW w:w="2371" w:type="pct"/>
            <w:vAlign w:val="center"/>
          </w:tcPr>
          <w:p>
            <w:pPr>
              <w:pStyle w:val="44"/>
              <w:ind w:firstLine="420" w:firstLineChars="200"/>
              <w:jc w:val="left"/>
              <w:rPr>
                <w:lang w:val="zh-TW"/>
              </w:rPr>
            </w:pPr>
            <w:r>
              <w:t>施工和运营过程中，应建立畅通的公众参与平台及时解决公众担忧的环境问题，满足公众合理的环境诉求，主动接受社会监督</w:t>
            </w:r>
            <w:r>
              <w:rPr>
                <w:rFonts w:hint="eastAsia"/>
              </w:rPr>
              <w:t>。</w:t>
            </w:r>
          </w:p>
        </w:tc>
        <w:tc>
          <w:tcPr>
            <w:tcW w:w="1930" w:type="pct"/>
            <w:vAlign w:val="center"/>
          </w:tcPr>
          <w:p>
            <w:pPr>
              <w:pStyle w:val="44"/>
              <w:ind w:firstLine="420" w:firstLineChars="200"/>
              <w:jc w:val="left"/>
            </w:pPr>
            <w:r>
              <w:t>施工和运营过程中，建立</w:t>
            </w:r>
            <w:r>
              <w:rPr>
                <w:rFonts w:hint="eastAsia"/>
              </w:rPr>
              <w:t>了</w:t>
            </w:r>
            <w:r>
              <w:t>畅通的公众参与平台及时解决公众担忧的环境问题，满足公众合理的环境诉求，主动接受社会监督</w:t>
            </w:r>
            <w:r>
              <w:rPr>
                <w:rFonts w:hint="eastAsia"/>
              </w:rPr>
              <w:t>。</w:t>
            </w:r>
          </w:p>
        </w:tc>
        <w:tc>
          <w:tcPr>
            <w:tcW w:w="363" w:type="pct"/>
            <w:vAlign w:val="center"/>
          </w:tcPr>
          <w:p>
            <w:pPr>
              <w:pStyle w:val="44"/>
              <w:rPr>
                <w:rFonts w:hint="eastAsia" w:eastAsia="宋体"/>
                <w:lang w:val="zh-TW"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rPr>
                <w:lang w:val="zh-TW"/>
              </w:rPr>
              <w:t>(</w:t>
            </w:r>
            <w:r>
              <w:rPr>
                <w:lang w:val="zh-TW" w:eastAsia="zh-TW"/>
              </w:rPr>
              <w:t>九</w:t>
            </w:r>
            <w:r>
              <w:rPr>
                <w:lang w:val="zh-TW"/>
              </w:rPr>
              <w:t>)</w:t>
            </w:r>
          </w:p>
        </w:tc>
        <w:tc>
          <w:tcPr>
            <w:tcW w:w="2371" w:type="pct"/>
            <w:vAlign w:val="center"/>
          </w:tcPr>
          <w:p>
            <w:pPr>
              <w:pStyle w:val="44"/>
              <w:ind w:firstLine="420" w:firstLineChars="200"/>
              <w:jc w:val="left"/>
              <w:rPr>
                <w:lang w:val="zh-TW" w:eastAsia="zh-TW"/>
              </w:rPr>
            </w:pPr>
            <w:r>
              <w:t>强化污染源管理。按照国家和地方有关规定，建设规范的固体废物暂存间，并设立标志牌。落实环境管理及监测计划要求。</w:t>
            </w:r>
          </w:p>
        </w:tc>
        <w:tc>
          <w:tcPr>
            <w:tcW w:w="1930" w:type="pct"/>
            <w:vAlign w:val="center"/>
          </w:tcPr>
          <w:p>
            <w:pPr>
              <w:pStyle w:val="44"/>
              <w:ind w:firstLine="420" w:firstLineChars="200"/>
              <w:jc w:val="left"/>
              <w:rPr>
                <w:lang w:val="zh-TW"/>
              </w:rPr>
            </w:pPr>
            <w:r>
              <w:t>按照国家和地方有关规定，建设</w:t>
            </w:r>
            <w:r>
              <w:rPr>
                <w:rFonts w:hint="eastAsia"/>
              </w:rPr>
              <w:t>了</w:t>
            </w:r>
            <w:r>
              <w:t>规范的固体废物暂存间，并设立标志牌。落实</w:t>
            </w:r>
            <w:r>
              <w:rPr>
                <w:rFonts w:hint="eastAsia"/>
              </w:rPr>
              <w:t>了</w:t>
            </w:r>
            <w:r>
              <w:t>环境管理及监测计划要求</w:t>
            </w:r>
            <w:r>
              <w:rPr>
                <w:rFonts w:hint="eastAsia"/>
              </w:rPr>
              <w:t>。</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rPr>
                <w:lang w:val="zh-TW"/>
              </w:rPr>
            </w:pPr>
            <w:r>
              <w:t>(十)</w:t>
            </w:r>
          </w:p>
        </w:tc>
        <w:tc>
          <w:tcPr>
            <w:tcW w:w="2371" w:type="pct"/>
            <w:vAlign w:val="center"/>
          </w:tcPr>
          <w:p>
            <w:pPr>
              <w:pStyle w:val="44"/>
              <w:ind w:firstLine="420" w:firstLineChars="200"/>
              <w:jc w:val="left"/>
            </w:pPr>
            <w:r>
              <w:t>(十)强化环境风险防范和应急措施。项目要落实事故环境风险防范及环境安全突发事故应急处理的综合预案并定期演练，配备必要的事故防范应急设施、设备。</w:t>
            </w:r>
          </w:p>
        </w:tc>
        <w:tc>
          <w:tcPr>
            <w:tcW w:w="1930" w:type="pct"/>
            <w:vAlign w:val="center"/>
          </w:tcPr>
          <w:p>
            <w:pPr>
              <w:pStyle w:val="44"/>
              <w:ind w:firstLine="420" w:firstLineChars="200"/>
              <w:jc w:val="left"/>
              <w:rPr>
                <w:lang w:val="zh-TW" w:eastAsia="zh-TW"/>
              </w:rPr>
            </w:pPr>
            <w:r>
              <w:t>按规定设置环境保护设施标识牌，标示治理工艺流程图。设置环境保护设施管理台账。制定环境保护设施运行操作规程和环保措施管理制度。</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335" w:type="pct"/>
            <w:vAlign w:val="center"/>
          </w:tcPr>
          <w:p>
            <w:pPr>
              <w:pStyle w:val="44"/>
              <w:rPr>
                <w:lang w:val="zh-TW"/>
              </w:rPr>
            </w:pPr>
            <w:r>
              <w:t>(十一)</w:t>
            </w:r>
          </w:p>
        </w:tc>
        <w:tc>
          <w:tcPr>
            <w:tcW w:w="2371" w:type="pct"/>
            <w:vAlign w:val="center"/>
          </w:tcPr>
          <w:p>
            <w:pPr>
              <w:pStyle w:val="44"/>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严格落实项目污染物排放总量指标。大气污染物总量控制指标，颗粒物0106t/a，V</w:t>
            </w:r>
            <w:r>
              <w:rPr>
                <w:rFonts w:hint="eastAsia"/>
                <w:color w:val="000000" w:themeColor="text1"/>
                <w14:textFill>
                  <w14:solidFill>
                    <w14:schemeClr w14:val="tx1"/>
                  </w14:solidFill>
                </w14:textFill>
              </w:rPr>
              <w:t>OC</w:t>
            </w:r>
            <w:r>
              <w:rPr>
                <w:color w:val="000000" w:themeColor="text1"/>
                <w14:textFill>
                  <w14:solidFill>
                    <w14:schemeClr w14:val="tx1"/>
                  </w14:solidFill>
                </w14:textFill>
              </w:rPr>
              <w:t>s0.035t/a。</w:t>
            </w:r>
          </w:p>
        </w:tc>
        <w:tc>
          <w:tcPr>
            <w:tcW w:w="1930" w:type="pct"/>
            <w:vAlign w:val="center"/>
          </w:tcPr>
          <w:p>
            <w:pPr>
              <w:pStyle w:val="44"/>
              <w:ind w:firstLine="420" w:firstLineChars="200"/>
              <w:jc w:val="left"/>
              <w:rPr>
                <w:color w:val="000000" w:themeColor="text1"/>
                <w:lang w:val="zh-TW" w:eastAsia="zh-TW"/>
                <w14:textFill>
                  <w14:solidFill>
                    <w14:schemeClr w14:val="tx1"/>
                  </w14:solidFill>
                </w14:textFill>
              </w:rPr>
            </w:pPr>
            <w:r>
              <w:rPr>
                <w:color w:val="000000" w:themeColor="text1"/>
                <w14:textFill>
                  <w14:solidFill>
                    <w14:schemeClr w14:val="tx1"/>
                  </w14:solidFill>
                </w14:textFill>
              </w:rPr>
              <w:t>严格落实项目污染物排放总量指标。大气污染物总量控制指标，颗粒物0106t/a，V</w:t>
            </w:r>
            <w:r>
              <w:rPr>
                <w:rFonts w:hint="eastAsia"/>
                <w:color w:val="000000" w:themeColor="text1"/>
                <w14:textFill>
                  <w14:solidFill>
                    <w14:schemeClr w14:val="tx1"/>
                  </w14:solidFill>
                </w14:textFill>
              </w:rPr>
              <w:t>OC</w:t>
            </w:r>
            <w:r>
              <w:rPr>
                <w:color w:val="000000" w:themeColor="text1"/>
                <w14:textFill>
                  <w14:solidFill>
                    <w14:schemeClr w14:val="tx1"/>
                  </w14:solidFill>
                </w14:textFill>
              </w:rPr>
              <w:t>s0.035t/a。</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三</w:t>
            </w:r>
          </w:p>
        </w:tc>
        <w:tc>
          <w:tcPr>
            <w:tcW w:w="2371" w:type="pct"/>
            <w:vAlign w:val="center"/>
          </w:tcPr>
          <w:p>
            <w:pPr>
              <w:pStyle w:val="44"/>
              <w:ind w:firstLine="420" w:firstLineChars="200"/>
              <w:jc w:val="left"/>
            </w:pPr>
            <w:r>
              <w:t>你公司应办理其他部门相关手续，并按要求进行生产运营，尤其是通畅公众合理诉求渠道和落实公众参与等相关工作</w:t>
            </w:r>
            <w:r>
              <w:rPr>
                <w:rFonts w:hint="eastAsia"/>
              </w:rPr>
              <w:t>。</w:t>
            </w:r>
          </w:p>
        </w:tc>
        <w:tc>
          <w:tcPr>
            <w:tcW w:w="1930" w:type="pct"/>
            <w:vAlign w:val="center"/>
          </w:tcPr>
          <w:p>
            <w:pPr>
              <w:pStyle w:val="44"/>
              <w:ind w:firstLine="420" w:firstLineChars="200"/>
              <w:jc w:val="left"/>
            </w:pPr>
            <w:r>
              <w:rPr>
                <w:rFonts w:hint="eastAsia"/>
              </w:rPr>
              <w:t>本</w:t>
            </w:r>
            <w:r>
              <w:t>公司应办理其他部门相关手续，并按要求进行生产运营，尤其是通畅公众合理诉求渠道和落实公众参与等相关工作</w:t>
            </w:r>
            <w:r>
              <w:rPr>
                <w:rFonts w:hint="eastAsia"/>
              </w:rPr>
              <w:t>。</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四</w:t>
            </w:r>
          </w:p>
        </w:tc>
        <w:tc>
          <w:tcPr>
            <w:tcW w:w="2371" w:type="pct"/>
            <w:vAlign w:val="center"/>
          </w:tcPr>
          <w:p>
            <w:pPr>
              <w:pStyle w:val="44"/>
              <w:ind w:firstLine="420" w:firstLineChars="200"/>
              <w:jc w:val="left"/>
            </w:pPr>
            <w:r>
              <w:t>项目建设须严格执行配套建设的环境保护设施“三同时”制度。项目竣工后，须完成该项目竣工环境保护验收。按照排污许可制度要求申领排污许可证并按证排污。</w:t>
            </w:r>
          </w:p>
        </w:tc>
        <w:tc>
          <w:tcPr>
            <w:tcW w:w="1930" w:type="pct"/>
            <w:vAlign w:val="center"/>
          </w:tcPr>
          <w:p>
            <w:pPr>
              <w:pStyle w:val="44"/>
              <w:ind w:firstLine="420" w:firstLineChars="200"/>
              <w:jc w:val="left"/>
            </w:pPr>
            <w:r>
              <w:t>项目建设严格执行配套建设的环境保护设施“三同时”制度。项目竣工后，完成该项目竣工环境保护验收。按照排污许可制度要求</w:t>
            </w:r>
            <w:r>
              <w:rPr>
                <w:rFonts w:hint="eastAsia"/>
              </w:rPr>
              <w:t>已</w:t>
            </w:r>
            <w:r>
              <w:t>申领排污许可证并按证排污。</w:t>
            </w:r>
          </w:p>
        </w:tc>
        <w:tc>
          <w:tcPr>
            <w:tcW w:w="363" w:type="pct"/>
            <w:vAlign w:val="center"/>
          </w:tcPr>
          <w:p>
            <w:pPr>
              <w:pStyle w:val="44"/>
              <w:rPr>
                <w:lang w:val="zh-TW"/>
              </w:rPr>
            </w:pPr>
            <w:r>
              <w:rPr>
                <w:lang w:val="zh-TW"/>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pStyle w:val="44"/>
            </w:pPr>
            <w:r>
              <w:t>五</w:t>
            </w:r>
          </w:p>
        </w:tc>
        <w:tc>
          <w:tcPr>
            <w:tcW w:w="2371" w:type="pct"/>
            <w:vAlign w:val="center"/>
          </w:tcPr>
          <w:p>
            <w:pPr>
              <w:pStyle w:val="44"/>
              <w:ind w:firstLine="420" w:firstLineChars="200"/>
              <w:jc w:val="left"/>
            </w:pPr>
            <w:r>
              <w:t>该环境影响评价文件自批准之日起超过五年，建设单位才开工建设的，其环境影响评价文件应当报我局重新审核。</w:t>
            </w:r>
          </w:p>
        </w:tc>
        <w:tc>
          <w:tcPr>
            <w:tcW w:w="1930" w:type="pct"/>
            <w:vAlign w:val="center"/>
          </w:tcPr>
          <w:p>
            <w:pPr>
              <w:pStyle w:val="44"/>
              <w:ind w:firstLine="420" w:firstLineChars="200"/>
              <w:jc w:val="left"/>
            </w:pPr>
            <w:r>
              <w:rPr>
                <w:rFonts w:hint="eastAsia"/>
              </w:rPr>
              <w:t>已在环境影响评价文件批准之日起五年内开工建设并建设完成。</w:t>
            </w:r>
          </w:p>
        </w:tc>
        <w:tc>
          <w:tcPr>
            <w:tcW w:w="363" w:type="pct"/>
            <w:vAlign w:val="center"/>
          </w:tcPr>
          <w:p>
            <w:pPr>
              <w:pStyle w:val="44"/>
              <w:rPr>
                <w:lang w:val="zh-TW"/>
              </w:rPr>
            </w:pPr>
            <w:r>
              <w:rPr>
                <w:lang w:val="zh-TW"/>
              </w:rPr>
              <w:t>已落实</w:t>
            </w:r>
          </w:p>
        </w:tc>
      </w:tr>
    </w:tbl>
    <w:p>
      <w:pPr>
        <w:ind w:firstLine="0" w:firstLineChars="0"/>
        <w:rPr>
          <w:highlight w:val="green"/>
        </w:rPr>
        <w:sectPr>
          <w:pgSz w:w="11905" w:h="16838"/>
          <w:pgMar w:top="1247" w:right="1247" w:bottom="1247" w:left="1247" w:header="709" w:footer="680" w:gutter="0"/>
          <w:cols w:space="0" w:num="1"/>
          <w:docGrid w:type="lines" w:linePitch="336" w:charSpace="0"/>
        </w:sectPr>
      </w:pPr>
    </w:p>
    <w:p>
      <w:pPr>
        <w:pStyle w:val="3"/>
      </w:pPr>
      <w:bookmarkStart w:id="1167" w:name="_Toc405546996"/>
      <w:bookmarkStart w:id="1168" w:name="_Toc300061341"/>
      <w:bookmarkStart w:id="1169" w:name="_Toc16526"/>
      <w:bookmarkStart w:id="1170" w:name="_Toc13478"/>
      <w:bookmarkStart w:id="1171" w:name="_Toc8209"/>
      <w:bookmarkStart w:id="1172" w:name="_Toc27516_WPSOffice_Level1"/>
      <w:bookmarkStart w:id="1173" w:name="_Toc17114"/>
      <w:bookmarkStart w:id="1174" w:name="_Toc17915"/>
      <w:bookmarkStart w:id="1175" w:name="_Toc11378"/>
      <w:bookmarkStart w:id="1176" w:name="_Toc1640_WPSOffice_Level1"/>
      <w:bookmarkStart w:id="1177" w:name="_Toc292803167"/>
      <w:bookmarkStart w:id="1178" w:name="_Toc1491"/>
      <w:bookmarkStart w:id="1179" w:name="_Toc21811_WPSOffice_Level1"/>
      <w:bookmarkStart w:id="1180" w:name="_Toc22056"/>
      <w:bookmarkStart w:id="1181" w:name="_Toc8191"/>
      <w:bookmarkStart w:id="1182" w:name="_Toc11094"/>
      <w:bookmarkStart w:id="1183" w:name="_Toc23188"/>
      <w:bookmarkStart w:id="1184" w:name="_Toc26425"/>
      <w:bookmarkStart w:id="1185" w:name="_Toc11293"/>
      <w:bookmarkStart w:id="1186" w:name="_Toc28513_WPSOffice_Level1"/>
      <w:bookmarkStart w:id="1187" w:name="_Toc28800_WPSOffice_Level1"/>
      <w:bookmarkStart w:id="1188" w:name="_Toc12418"/>
      <w:bookmarkStart w:id="1189" w:name="_Toc11103"/>
      <w:bookmarkStart w:id="1190" w:name="_Toc14480"/>
      <w:r>
        <w:t xml:space="preserve">第十一章 </w:t>
      </w:r>
      <w:bookmarkEnd w:id="1167"/>
      <w:bookmarkEnd w:id="1168"/>
      <w:r>
        <w:t>验收监测结论</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pPr>
        <w:pStyle w:val="4"/>
      </w:pPr>
      <w:bookmarkStart w:id="1191" w:name="_Toc338659462"/>
      <w:bookmarkStart w:id="1192" w:name="_Toc353363418"/>
      <w:bookmarkStart w:id="1193" w:name="_Toc351020425"/>
      <w:bookmarkStart w:id="1194" w:name="_Toc23871"/>
      <w:bookmarkStart w:id="1195" w:name="_Toc22016"/>
      <w:bookmarkStart w:id="1196" w:name="_Toc405546998"/>
      <w:bookmarkStart w:id="1197" w:name="_Toc16930"/>
      <w:bookmarkStart w:id="1198" w:name="_Toc18618"/>
      <w:bookmarkStart w:id="1199" w:name="_Toc6899"/>
      <w:bookmarkStart w:id="1200" w:name="_Toc28356_WPSOffice_Level2"/>
      <w:bookmarkStart w:id="1201" w:name="_Toc27550_WPSOffice_Level2"/>
      <w:bookmarkStart w:id="1202" w:name="_Toc18824"/>
      <w:bookmarkStart w:id="1203" w:name="_Toc754"/>
      <w:bookmarkStart w:id="1204" w:name="_Toc28038"/>
      <w:bookmarkStart w:id="1205" w:name="_Toc4309"/>
      <w:bookmarkStart w:id="1206" w:name="_Toc7667"/>
      <w:bookmarkStart w:id="1207" w:name="_Toc12898_WPSOffice_Level2"/>
      <w:bookmarkStart w:id="1208" w:name="_Toc23388"/>
      <w:bookmarkStart w:id="1209" w:name="_Toc4709"/>
      <w:bookmarkStart w:id="1210" w:name="_Toc31354_WPSOffice_Level2"/>
      <w:bookmarkStart w:id="1211" w:name="_Toc17296"/>
      <w:bookmarkStart w:id="1212" w:name="_Toc2873_WPSOffice_Level2"/>
      <w:bookmarkStart w:id="1213" w:name="_Toc529"/>
      <w:bookmarkStart w:id="1214" w:name="_Toc16927"/>
      <w:bookmarkStart w:id="1215" w:name="_Toc22436"/>
      <w:bookmarkStart w:id="1216" w:name="_Toc329086282"/>
      <w:bookmarkStart w:id="1217" w:name="_Toc316286458"/>
      <w:r>
        <w:t>11.</w:t>
      </w:r>
      <w:bookmarkEnd w:id="1191"/>
      <w:bookmarkEnd w:id="1192"/>
      <w:bookmarkEnd w:id="1193"/>
      <w:r>
        <w:t>1</w:t>
      </w:r>
      <w:bookmarkEnd w:id="1194"/>
      <w:bookmarkEnd w:id="1195"/>
      <w:bookmarkEnd w:id="1196"/>
      <w:bookmarkEnd w:id="1197"/>
      <w:bookmarkEnd w:id="1198"/>
      <w:bookmarkEnd w:id="1199"/>
      <w:r>
        <w:t>环保设施</w:t>
      </w:r>
      <w:r>
        <w:rPr>
          <w:rFonts w:hint="eastAsia"/>
        </w:rPr>
        <w:t>运行</w:t>
      </w:r>
      <w:r>
        <w:t>调试效果</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bookmarkEnd w:id="1216"/>
    <w:bookmarkEnd w:id="1217"/>
    <w:p>
      <w:pPr>
        <w:pStyle w:val="5"/>
      </w:pPr>
      <w:r>
        <w:t>11.1.1环保设施处理效率监测结果</w:t>
      </w:r>
    </w:p>
    <w:p>
      <w:pPr>
        <w:ind w:firstLine="480"/>
      </w:pPr>
      <w:r>
        <w:rPr>
          <w:rFonts w:hint="eastAsia"/>
        </w:rPr>
        <w:t>11.1.1.1</w:t>
      </w:r>
      <w:r>
        <w:t>废水治理设施</w:t>
      </w:r>
    </w:p>
    <w:p>
      <w:pPr>
        <w:ind w:firstLine="480"/>
        <w:rPr>
          <w:highlight w:val="yellow"/>
        </w:rPr>
      </w:pPr>
      <w:r>
        <w:t>验收检测期间，厂区污水处理站对污染物</w:t>
      </w:r>
      <w:r>
        <w:rPr>
          <w:rFonts w:hint="eastAsia"/>
        </w:rPr>
        <w:t>五日生化需氧量</w:t>
      </w:r>
      <w:r>
        <w:t>、</w:t>
      </w:r>
      <w:r>
        <w:rPr>
          <w:rFonts w:hint="eastAsia"/>
        </w:rPr>
        <w:t>溶解性总固体、阴离子表面活性剂、粪大肠菌群</w:t>
      </w:r>
      <w:r>
        <w:t>的处理效率分别为</w:t>
      </w:r>
      <w:r>
        <w:rPr>
          <w:rFonts w:hint="eastAsia"/>
        </w:rPr>
        <w:t>92.0</w:t>
      </w:r>
      <w:r>
        <w:t>%、</w:t>
      </w:r>
      <w:r>
        <w:rPr>
          <w:rFonts w:hint="eastAsia"/>
        </w:rPr>
        <w:t>12.2</w:t>
      </w:r>
      <w:r>
        <w:t>%、</w:t>
      </w:r>
      <w:r>
        <w:rPr>
          <w:rFonts w:hint="eastAsia"/>
        </w:rPr>
        <w:t>75.8</w:t>
      </w:r>
      <w:r>
        <w:t>%、</w:t>
      </w:r>
      <w:r>
        <w:rPr>
          <w:rFonts w:hint="eastAsia"/>
        </w:rPr>
        <w:t>99.8</w:t>
      </w:r>
      <w:r>
        <w:t>%。</w:t>
      </w:r>
    </w:p>
    <w:p>
      <w:pPr>
        <w:ind w:firstLine="480"/>
      </w:pPr>
      <w:r>
        <w:rPr>
          <w:rFonts w:hint="eastAsia"/>
        </w:rPr>
        <w:t>11.1.1.2</w:t>
      </w:r>
      <w:r>
        <w:t>废气治理设施</w:t>
      </w:r>
    </w:p>
    <w:p>
      <w:pPr>
        <w:ind w:firstLine="480"/>
        <w:rPr>
          <w:color w:val="FF0000"/>
        </w:rPr>
      </w:pPr>
      <w:r>
        <w:t>验收检测</w:t>
      </w:r>
      <w:r>
        <w:rPr>
          <w:color w:val="000000" w:themeColor="text1"/>
          <w14:textFill>
            <w14:solidFill>
              <w14:schemeClr w14:val="tx1"/>
            </w14:solidFill>
          </w14:textFill>
        </w:rPr>
        <w:t>期间，</w:t>
      </w:r>
      <w:r>
        <w:rPr>
          <w:rFonts w:hint="eastAsia"/>
          <w:color w:val="000000" w:themeColor="text1"/>
          <w14:textFill>
            <w14:solidFill>
              <w14:schemeClr w14:val="tx1"/>
            </w14:solidFill>
          </w14:textFill>
        </w:rPr>
        <w:t>机加工布袋除尘器</w:t>
      </w:r>
      <w:r>
        <w:rPr>
          <w:color w:val="000000" w:themeColor="text1"/>
          <w14:textFill>
            <w14:solidFill>
              <w14:schemeClr w14:val="tx1"/>
            </w14:solidFill>
          </w14:textFill>
        </w:rPr>
        <w:t>处理效率为</w:t>
      </w:r>
      <w:r>
        <w:rPr>
          <w:rFonts w:hint="eastAsia"/>
          <w:color w:val="000000" w:themeColor="text1"/>
          <w14:textFill>
            <w14:solidFill>
              <w14:schemeClr w14:val="tx1"/>
            </w14:solidFill>
          </w14:textFill>
        </w:rPr>
        <w:t>94.3</w:t>
      </w:r>
      <w:r>
        <w:rPr>
          <w:color w:val="000000" w:themeColor="text1"/>
          <w14:textFill>
            <w14:solidFill>
              <w14:schemeClr w14:val="tx1"/>
            </w14:solidFill>
          </w14:textFill>
        </w:rPr>
        <w:t>%，活性炭吸附浓缩催化燃烧装置对VOCs的处理效率为</w:t>
      </w:r>
      <w:r>
        <w:rPr>
          <w:rFonts w:hint="eastAsia"/>
          <w:color w:val="000000" w:themeColor="text1"/>
          <w14:textFill>
            <w14:solidFill>
              <w14:schemeClr w14:val="tx1"/>
            </w14:solidFill>
          </w14:textFill>
        </w:rPr>
        <w:t>98.8</w:t>
      </w:r>
      <w:r>
        <w:rPr>
          <w:color w:val="000000" w:themeColor="text1"/>
          <w14:textFill>
            <w14:solidFill>
              <w14:schemeClr w14:val="tx1"/>
            </w14:solidFill>
          </w14:textFill>
        </w:rPr>
        <w:t>%。</w:t>
      </w:r>
    </w:p>
    <w:p>
      <w:pPr>
        <w:pStyle w:val="5"/>
      </w:pPr>
      <w:r>
        <w:t>11.1.2污染物排放监测结果</w:t>
      </w:r>
    </w:p>
    <w:p>
      <w:pPr>
        <w:numPr>
          <w:ilvl w:val="0"/>
          <w:numId w:val="7"/>
        </w:numPr>
        <w:ind w:firstLine="482"/>
        <w:rPr>
          <w:b/>
          <w:bCs/>
        </w:rPr>
      </w:pPr>
      <w:r>
        <w:rPr>
          <w:rFonts w:hint="eastAsia"/>
          <w:b/>
          <w:bCs/>
        </w:rPr>
        <w:t>废水</w:t>
      </w:r>
    </w:p>
    <w:p>
      <w:pPr>
        <w:ind w:firstLine="480"/>
        <w:rPr>
          <w:highlight w:val="none"/>
        </w:rPr>
      </w:pPr>
      <w:r>
        <w:t>验收</w:t>
      </w:r>
      <w:r>
        <w:rPr>
          <w:rFonts w:hint="eastAsia"/>
        </w:rPr>
        <w:t>监</w:t>
      </w:r>
      <w:r>
        <w:t>测期间，污水处理设施</w:t>
      </w:r>
      <w:r>
        <w:rPr>
          <w:rFonts w:hint="eastAsia"/>
        </w:rPr>
        <w:t>出口</w:t>
      </w:r>
      <w:r>
        <w:t>两天检测数据日均值分别为：pH值</w:t>
      </w:r>
      <w:r>
        <w:rPr>
          <w:rFonts w:hint="eastAsia"/>
        </w:rPr>
        <w:t>7.8、7.7</w:t>
      </w:r>
      <w:r>
        <w:t>~</w:t>
      </w:r>
      <w:r>
        <w:rPr>
          <w:rFonts w:hint="eastAsia"/>
        </w:rPr>
        <w:t>7.8；</w:t>
      </w:r>
      <w:r>
        <w:t>五日生化需氧量</w:t>
      </w:r>
      <w:r>
        <w:rPr>
          <w:rFonts w:hint="eastAsia"/>
        </w:rPr>
        <w:t>9.7</w:t>
      </w:r>
      <w:r>
        <w:t>mg/L、</w:t>
      </w:r>
      <w:r>
        <w:rPr>
          <w:rFonts w:hint="eastAsia"/>
        </w:rPr>
        <w:t>9.0</w:t>
      </w:r>
      <w:r>
        <w:t xml:space="preserve">mg/L；溶解性总固体 </w:t>
      </w:r>
      <w:r>
        <w:rPr>
          <w:rFonts w:hint="eastAsia"/>
        </w:rPr>
        <w:t>950</w:t>
      </w:r>
      <w:r>
        <w:t>mg/L、</w:t>
      </w:r>
      <w:r>
        <w:rPr>
          <w:rFonts w:hint="eastAsia"/>
        </w:rPr>
        <w:t>933</w:t>
      </w:r>
      <w:r>
        <w:t>mg/L；</w:t>
      </w:r>
      <w:r>
        <w:rPr>
          <w:rFonts w:hint="eastAsia"/>
        </w:rPr>
        <w:t>粪大肠菌群</w:t>
      </w:r>
      <w:r>
        <w:rPr>
          <w:kern w:val="0"/>
          <w:szCs w:val="21"/>
          <w:lang w:bidi="ar"/>
        </w:rPr>
        <w:t>20L</w:t>
      </w:r>
      <w:r>
        <w:rPr>
          <w:rFonts w:hint="eastAsia"/>
          <w:kern w:val="0"/>
          <w:szCs w:val="21"/>
          <w:lang w:bidi="ar"/>
        </w:rPr>
        <w:t>；</w:t>
      </w:r>
      <w:r>
        <w:t>色度</w:t>
      </w:r>
      <w:r>
        <w:rPr>
          <w:rFonts w:hint="eastAsia"/>
        </w:rPr>
        <w:t>6</w:t>
      </w:r>
      <w:r>
        <w:t>倍；</w:t>
      </w:r>
      <w:r>
        <w:rPr>
          <w:rFonts w:hint="eastAsia"/>
        </w:rPr>
        <w:t>阴离子表面活性剂0.07</w:t>
      </w:r>
      <w:r>
        <w:t>mg/L，废水</w:t>
      </w:r>
      <w:r>
        <w:rPr>
          <w:rFonts w:hint="eastAsia"/>
        </w:rPr>
        <w:t>水质</w:t>
      </w:r>
      <w:r>
        <w:t>达到《城市污水再生利用 绿地灌溉水质》 (</w:t>
      </w:r>
      <w:r>
        <w:rPr>
          <w:rFonts w:hint="eastAsia"/>
          <w:highlight w:val="none"/>
          <w:lang w:eastAsia="zh-CN"/>
        </w:rPr>
        <w:t>GB</w:t>
      </w:r>
      <w:r>
        <w:rPr>
          <w:highlight w:val="none"/>
        </w:rPr>
        <w:t>/T25499-2010)标准。</w:t>
      </w:r>
    </w:p>
    <w:p>
      <w:pPr>
        <w:ind w:firstLine="482"/>
        <w:rPr>
          <w:b/>
          <w:bCs/>
          <w:highlight w:val="none"/>
        </w:rPr>
      </w:pPr>
      <w:r>
        <w:rPr>
          <w:rFonts w:hint="eastAsia"/>
          <w:b/>
          <w:bCs/>
          <w:highlight w:val="none"/>
        </w:rPr>
        <w:t>2、</w:t>
      </w:r>
      <w:r>
        <w:rPr>
          <w:b/>
          <w:bCs/>
          <w:highlight w:val="none"/>
        </w:rPr>
        <w:t>废气</w:t>
      </w:r>
    </w:p>
    <w:p>
      <w:pPr>
        <w:ind w:firstLine="480"/>
      </w:pPr>
      <w:r>
        <w:t>（1） 有组织排放</w:t>
      </w:r>
    </w:p>
    <w:p>
      <w:pPr>
        <w:ind w:firstLine="480"/>
      </w:pPr>
      <w:r>
        <w:t>验收监测期间，</w:t>
      </w:r>
      <w:r>
        <w:rPr>
          <w:rFonts w:hint="eastAsia"/>
        </w:rPr>
        <w:t>机加工</w:t>
      </w:r>
      <w:r>
        <w:t>废气排气筒(DA001)两天检测数据颗粒物最大值浓度为</w:t>
      </w:r>
      <w:r>
        <w:rPr>
          <w:rFonts w:hint="eastAsia"/>
        </w:rPr>
        <w:t>1.5</w:t>
      </w:r>
      <w:r>
        <w:t>mg/m³，满足《区域性大气污染物综合排放标准》(DB37/2376-2019)表l中相应重点控制区限值</w:t>
      </w:r>
      <w:r>
        <w:rPr>
          <w:rFonts w:hint="eastAsia"/>
        </w:rPr>
        <w:t>10</w:t>
      </w:r>
      <w:r>
        <w:t>mg/m³要求。</w:t>
      </w:r>
    </w:p>
    <w:p>
      <w:pPr>
        <w:ind w:firstLine="480"/>
        <w:rPr>
          <w:highlight w:val="red"/>
        </w:rPr>
      </w:pPr>
      <w:r>
        <w:rPr>
          <w:rFonts w:hint="eastAsia"/>
        </w:rPr>
        <w:t>喷粉</w:t>
      </w:r>
      <w:r>
        <w:t xml:space="preserve">废气排气筒(DA002)两天检测数据颗粒物最大值浓度为 </w:t>
      </w:r>
      <w:r>
        <w:rPr>
          <w:rFonts w:hint="eastAsia"/>
        </w:rPr>
        <w:t>1.3</w:t>
      </w:r>
      <w:r>
        <w:t>mg/m³</w:t>
      </w:r>
      <w:r>
        <w:rPr>
          <w:rFonts w:hint="eastAsia"/>
        </w:rPr>
        <w:t>，</w:t>
      </w:r>
      <w:r>
        <w:t>满足《区域性大气污染物综合排放标准》(DB37/2376-2019)表l中相应重点控制区限值</w:t>
      </w:r>
      <w:r>
        <w:rPr>
          <w:rFonts w:hint="eastAsia"/>
        </w:rPr>
        <w:t>10</w:t>
      </w:r>
      <w:r>
        <w:t>mg/m³要求。</w:t>
      </w:r>
    </w:p>
    <w:p>
      <w:pPr>
        <w:ind w:firstLine="480"/>
        <w:rPr>
          <w:highlight w:val="darkYellow"/>
        </w:rPr>
      </w:pPr>
      <w:r>
        <w:rPr>
          <w:rFonts w:hint="eastAsia"/>
        </w:rPr>
        <w:t>喷漆固化</w:t>
      </w:r>
      <w:r>
        <w:t>排气筒</w:t>
      </w:r>
      <w:r>
        <w:rPr>
          <w:rFonts w:hint="eastAsia"/>
        </w:rPr>
        <w:t>（</w:t>
      </w:r>
      <w:r>
        <w:t>DA003</w:t>
      </w:r>
      <w:r>
        <w:rPr>
          <w:rFonts w:hint="eastAsia"/>
        </w:rPr>
        <w:t>）</w:t>
      </w:r>
      <w:r>
        <w:t>两天检测数据颗粒物最大值浓度为</w:t>
      </w:r>
      <w:r>
        <w:rPr>
          <w:rFonts w:hint="eastAsia"/>
        </w:rPr>
        <w:t>1.6</w:t>
      </w:r>
      <w:r>
        <w:t>mg/m³满足《区域性大气污染物综合排放标准》(DB37/2376-2019)表l中相应重点控制区限值</w:t>
      </w:r>
      <w:r>
        <w:rPr>
          <w:rFonts w:hint="eastAsia"/>
        </w:rPr>
        <w:t>10</w:t>
      </w:r>
      <w:r>
        <w:t>mg/m³要求</w:t>
      </w:r>
      <w:r>
        <w:rPr>
          <w:rFonts w:hint="eastAsia"/>
        </w:rPr>
        <w:t>；VOCs</w:t>
      </w:r>
      <w:r>
        <w:t>最大值浓度为</w:t>
      </w:r>
      <w:r>
        <w:rPr>
          <w:rFonts w:hint="eastAsia"/>
        </w:rPr>
        <w:t>1.74</w:t>
      </w:r>
      <w:r>
        <w:t>mg/m³</w:t>
      </w:r>
      <w:r>
        <w:rPr>
          <w:rFonts w:hint="eastAsia"/>
        </w:rPr>
        <w:t>，排放速率0.016</w:t>
      </w:r>
      <w:r>
        <w:t>kg/h</w:t>
      </w:r>
      <w:r>
        <w:rPr>
          <w:rFonts w:hint="eastAsia"/>
        </w:rPr>
        <w:t>，</w:t>
      </w:r>
      <w:r>
        <w:t>满足</w:t>
      </w:r>
      <w:r>
        <w:rPr>
          <w:rFonts w:hint="eastAsia"/>
          <w:snapToGrid w:val="0"/>
          <w:kern w:val="0"/>
        </w:rPr>
        <w:t>《挥发性有机物排放标准 第5部分：表面涂装行业》（DB37/2801.5-2018）</w:t>
      </w:r>
      <w:r>
        <w:rPr>
          <w:snapToGrid w:val="0"/>
          <w:kern w:val="0"/>
        </w:rPr>
        <w:t>表</w:t>
      </w:r>
      <w:r>
        <w:rPr>
          <w:rFonts w:hint="eastAsia"/>
          <w:snapToGrid w:val="0"/>
          <w:kern w:val="0"/>
        </w:rPr>
        <w:t>2</w:t>
      </w:r>
      <w:r>
        <w:rPr>
          <w:snapToGrid w:val="0"/>
          <w:kern w:val="0"/>
        </w:rPr>
        <w:t>排放限值</w:t>
      </w:r>
      <w:r>
        <w:rPr>
          <w:rFonts w:hint="eastAsia"/>
          <w:snapToGrid w:val="0"/>
          <w:kern w:val="0"/>
        </w:rPr>
        <w:t>70</w:t>
      </w:r>
      <w:r>
        <w:t>m</w:t>
      </w:r>
      <w:r>
        <w:rPr>
          <w:snapToGrid w:val="0"/>
          <w:kern w:val="0"/>
        </w:rPr>
        <w:t>g/m³</w:t>
      </w:r>
      <w:r>
        <w:rPr>
          <w:rFonts w:hint="eastAsia"/>
          <w:snapToGrid w:val="0"/>
          <w:kern w:val="0"/>
        </w:rPr>
        <w:t>、排放速率限值2.4</w:t>
      </w:r>
      <w:r>
        <w:rPr>
          <w:snapToGrid w:val="0"/>
          <w:kern w:val="0"/>
        </w:rPr>
        <w:t>kg/h</w:t>
      </w:r>
      <w:r>
        <w:rPr>
          <w:rFonts w:hint="eastAsia"/>
          <w:snapToGrid w:val="0"/>
          <w:kern w:val="0"/>
        </w:rPr>
        <w:t>要求。</w:t>
      </w:r>
    </w:p>
    <w:p>
      <w:pPr>
        <w:ind w:firstLine="480"/>
      </w:pPr>
      <w:r>
        <w:t>（2） 无组织排放</w:t>
      </w:r>
    </w:p>
    <w:p>
      <w:pPr>
        <w:ind w:firstLine="480"/>
      </w:pPr>
      <w:r>
        <w:t>验收监测期间，厂内车间门窗外VOCs浓度最大值为</w:t>
      </w:r>
      <w:r>
        <w:rPr>
          <w:rFonts w:hint="eastAsia"/>
        </w:rPr>
        <w:t>1.96</w:t>
      </w:r>
      <w:r>
        <w:t>mg/m³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符合《挥发性有机物无组织排放控制标准》（GB37822-2019）附录A表A.1排放限值</w:t>
      </w:r>
      <w:r>
        <w:rPr>
          <w:rFonts w:hint="eastAsia"/>
          <w:color w:val="000000" w:themeColor="text1"/>
          <w14:textFill>
            <w14:solidFill>
              <w14:schemeClr w14:val="tx1"/>
            </w14:solidFill>
          </w14:textFill>
        </w:rPr>
        <w:t>10</w:t>
      </w:r>
      <w:r>
        <w:rPr>
          <w:snapToGrid w:val="0"/>
          <w:color w:val="000000" w:themeColor="text1"/>
          <w:kern w:val="0"/>
          <w14:textFill>
            <w14:solidFill>
              <w14:schemeClr w14:val="tx1"/>
            </w14:solidFill>
          </w14:textFill>
        </w:rPr>
        <w:t>mg/m</w:t>
      </w:r>
      <w:r>
        <w:rPr>
          <w:snapToGrid w:val="0"/>
          <w:color w:val="000000" w:themeColor="text1"/>
          <w:kern w:val="0"/>
          <w:vertAlign w:val="superscript"/>
          <w14:textFill>
            <w14:solidFill>
              <w14:schemeClr w14:val="tx1"/>
            </w14:solidFill>
          </w14:textFill>
        </w:rPr>
        <w:t>3</w:t>
      </w:r>
      <w:r>
        <w:rPr>
          <w:color w:val="000000" w:themeColor="text1"/>
          <w14:textFill>
            <w14:solidFill>
              <w14:schemeClr w14:val="tx1"/>
            </w14:solidFill>
          </w14:textFill>
        </w:rPr>
        <w:t>。</w:t>
      </w:r>
      <w:r>
        <w:t>厂界无组织VOCs浓度最大值为</w:t>
      </w:r>
      <w:r>
        <w:rPr>
          <w:rFonts w:hint="eastAsia"/>
        </w:rPr>
        <w:t>1.17</w:t>
      </w:r>
      <w:r>
        <w:t>mg/m³，符合《</w:t>
      </w:r>
      <w:r>
        <w:rPr>
          <w:rFonts w:hint="eastAsia"/>
        </w:rPr>
        <w:t>挥发性有机物排放标准 第5部分：表面涂装行业</w:t>
      </w:r>
      <w:r>
        <w:t>》（DB37/2801.</w:t>
      </w:r>
      <w:r>
        <w:rPr>
          <w:rFonts w:hint="eastAsia"/>
        </w:rPr>
        <w:t>5</w:t>
      </w:r>
      <w:r>
        <w:t>-20</w:t>
      </w:r>
      <w:r>
        <w:rPr>
          <w:rFonts w:hint="eastAsia"/>
        </w:rPr>
        <w:t>18</w:t>
      </w:r>
      <w:r>
        <w:t>）表</w:t>
      </w:r>
      <w:r>
        <w:rPr>
          <w:rFonts w:hint="eastAsia"/>
        </w:rPr>
        <w:t>3</w:t>
      </w:r>
      <w:r>
        <w:t xml:space="preserve">  </w:t>
      </w:r>
      <w:r>
        <w:rPr>
          <w:rFonts w:hint="eastAsia"/>
        </w:rPr>
        <w:t>厂界</w:t>
      </w:r>
      <w:r>
        <w:t>监控点浓度限值</w:t>
      </w:r>
      <w:r>
        <w:rPr>
          <w:rFonts w:hint="eastAsia"/>
        </w:rPr>
        <w:t>2.0</w:t>
      </w:r>
      <w:r>
        <w:rPr>
          <w:snapToGrid w:val="0"/>
          <w:kern w:val="0"/>
        </w:rPr>
        <w:t>mg/m</w:t>
      </w:r>
      <w:r>
        <w:rPr>
          <w:snapToGrid w:val="0"/>
          <w:kern w:val="0"/>
          <w:vertAlign w:val="superscript"/>
        </w:rPr>
        <w:t>3</w:t>
      </w:r>
      <w:r>
        <w:t>要求。颗粒物浓度最大值为</w:t>
      </w:r>
      <w:r>
        <w:rPr>
          <w:rFonts w:hint="eastAsia"/>
        </w:rPr>
        <w:t>0.</w:t>
      </w:r>
      <w:r>
        <w:t>303</w:t>
      </w:r>
      <w:r>
        <w:rPr>
          <w:rFonts w:hint="eastAsia"/>
        </w:rPr>
        <w:t>m</w:t>
      </w:r>
      <w:r>
        <w:t>g/m³，符合《大气污染物综合排放标准》（GB 16297-1996）表2监控浓度限值</w:t>
      </w:r>
      <w:r>
        <w:rPr>
          <w:rFonts w:hint="eastAsia"/>
        </w:rPr>
        <w:t>1.0</w:t>
      </w:r>
      <w:r>
        <w:rPr>
          <w:snapToGrid w:val="0"/>
          <w:kern w:val="0"/>
        </w:rPr>
        <w:t>mg/m</w:t>
      </w:r>
      <w:r>
        <w:rPr>
          <w:snapToGrid w:val="0"/>
          <w:kern w:val="0"/>
          <w:vertAlign w:val="superscript"/>
        </w:rPr>
        <w:t>3</w:t>
      </w:r>
      <w:r>
        <w:t>标准。</w:t>
      </w:r>
    </w:p>
    <w:p>
      <w:pPr>
        <w:ind w:firstLine="482"/>
        <w:rPr>
          <w:b/>
          <w:bCs/>
        </w:rPr>
      </w:pPr>
      <w:r>
        <w:rPr>
          <w:rFonts w:hint="eastAsia"/>
          <w:b/>
          <w:bCs/>
        </w:rPr>
        <w:t>2</w:t>
      </w:r>
      <w:r>
        <w:rPr>
          <w:b/>
          <w:bCs/>
        </w:rPr>
        <w:t>、噪声</w:t>
      </w:r>
    </w:p>
    <w:p>
      <w:pPr>
        <w:ind w:firstLine="480"/>
        <w:rPr>
          <w:kern w:val="0"/>
        </w:rPr>
      </w:pPr>
      <w:r>
        <w:rPr>
          <w:kern w:val="0"/>
        </w:rPr>
        <w:t>验收监测期间，东、南、西、北四厂界昼间噪声在</w:t>
      </w:r>
      <w:r>
        <w:rPr>
          <w:rFonts w:hint="eastAsia"/>
          <w:kern w:val="0"/>
        </w:rPr>
        <w:t>53</w:t>
      </w:r>
      <w:r>
        <w:rPr>
          <w:kern w:val="0"/>
        </w:rPr>
        <w:t>~</w:t>
      </w:r>
      <w:r>
        <w:rPr>
          <w:rFonts w:hint="eastAsia"/>
          <w:kern w:val="0"/>
        </w:rPr>
        <w:t>59</w:t>
      </w:r>
      <w:r>
        <w:rPr>
          <w:kern w:val="0"/>
        </w:rPr>
        <w:t>分贝之间、夜间噪声在4</w:t>
      </w:r>
      <w:r>
        <w:rPr>
          <w:rFonts w:hint="eastAsia"/>
          <w:kern w:val="0"/>
        </w:rPr>
        <w:t>4</w:t>
      </w:r>
      <w:r>
        <w:rPr>
          <w:kern w:val="0"/>
        </w:rPr>
        <w:t>~</w:t>
      </w:r>
      <w:r>
        <w:rPr>
          <w:rFonts w:hint="eastAsia"/>
          <w:kern w:val="0"/>
        </w:rPr>
        <w:t>48</w:t>
      </w:r>
      <w:r>
        <w:rPr>
          <w:kern w:val="0"/>
        </w:rPr>
        <w:t>分贝之间，符合《工业企业厂界噪声环境噪声排放标准》（GB12348-2008）</w:t>
      </w:r>
      <w:r>
        <w:rPr>
          <w:rFonts w:hint="eastAsia"/>
          <w:kern w:val="0"/>
        </w:rPr>
        <w:t>2</w:t>
      </w:r>
      <w:r>
        <w:rPr>
          <w:kern w:val="0"/>
        </w:rPr>
        <w:t>类标准要求。</w:t>
      </w:r>
    </w:p>
    <w:p>
      <w:pPr>
        <w:ind w:firstLine="482"/>
        <w:rPr>
          <w:b/>
          <w:bCs/>
        </w:rPr>
      </w:pPr>
      <w:r>
        <w:rPr>
          <w:rFonts w:hint="eastAsia"/>
          <w:b/>
          <w:bCs/>
        </w:rPr>
        <w:t>3</w:t>
      </w:r>
      <w:r>
        <w:rPr>
          <w:b/>
          <w:bCs/>
        </w:rPr>
        <w:t>、固体废物</w:t>
      </w:r>
    </w:p>
    <w:p>
      <w:pPr>
        <w:ind w:firstLine="480"/>
      </w:pPr>
      <w:r>
        <w:t>危险废物严格按照相关要求收集、贮存、运输，委托有运输资质的运输公司承担运输，按照标准建设了危废暂存库，张贴危废暂存间标识、设置危废进出库管理台账、不同危废分区存放，并设置导流沟，危废管理制度、危废废物处置流程、危废处置流程责任人上墙。</w:t>
      </w:r>
      <w:r>
        <w:rPr>
          <w:rFonts w:hint="eastAsia"/>
        </w:rPr>
        <w:t>项目</w:t>
      </w:r>
      <w:r>
        <w:t>产生的危废主要为切削液</w:t>
      </w:r>
      <w:r>
        <w:rPr>
          <w:rFonts w:hint="eastAsia"/>
        </w:rPr>
        <w:t>、</w:t>
      </w:r>
      <w:r>
        <w:t>废矿物油</w:t>
      </w:r>
      <w:r>
        <w:rPr>
          <w:rFonts w:hint="eastAsia"/>
        </w:rPr>
        <w:t>、废气治理设施中的</w:t>
      </w:r>
      <w:r>
        <w:t>废过滤纸</w:t>
      </w:r>
      <w:r>
        <w:rPr>
          <w:rFonts w:hint="eastAsia"/>
        </w:rPr>
        <w:t>、</w:t>
      </w:r>
      <w:r>
        <w:t>废活性炭</w:t>
      </w:r>
      <w:r>
        <w:rPr>
          <w:rFonts w:hint="eastAsia"/>
        </w:rPr>
        <w:t>、废催化剂</w:t>
      </w:r>
      <w:r>
        <w:t>委托</w:t>
      </w:r>
      <w:r>
        <w:rPr>
          <w:rFonts w:hint="eastAsia"/>
        </w:rPr>
        <w:t>有危废处置资质单位</w:t>
      </w:r>
      <w:r>
        <w:t>处理。</w:t>
      </w:r>
    </w:p>
    <w:p>
      <w:pPr>
        <w:ind w:firstLine="480"/>
      </w:pPr>
      <w:r>
        <w:t>生活垃圾由环卫部门定期清运；</w:t>
      </w:r>
      <w:r>
        <w:rPr>
          <w:rFonts w:hint="eastAsia"/>
        </w:rPr>
        <w:t>下脚料、</w:t>
      </w:r>
      <w:r>
        <w:t>焊渣、焊头</w:t>
      </w:r>
      <w:r>
        <w:rPr>
          <w:rFonts w:hint="eastAsia"/>
        </w:rPr>
        <w:t>、</w:t>
      </w:r>
      <w:r>
        <w:t>包装物</w:t>
      </w:r>
      <w:r>
        <w:rPr>
          <w:rFonts w:hint="eastAsia"/>
        </w:rPr>
        <w:t>、除尘器颗粒物收集后外售</w:t>
      </w:r>
      <w:r>
        <w:t>；漆渣</w:t>
      </w:r>
      <w:r>
        <w:rPr>
          <w:rFonts w:hint="eastAsia"/>
        </w:rPr>
        <w:t>、</w:t>
      </w:r>
      <w:r>
        <w:t>漆料由厂家定期回收。</w:t>
      </w:r>
    </w:p>
    <w:p>
      <w:pPr>
        <w:ind w:firstLine="480"/>
      </w:pPr>
      <w:r>
        <w:rPr>
          <w:rFonts w:hint="eastAsia"/>
        </w:rPr>
        <w:t>项目</w:t>
      </w:r>
      <w:r>
        <w:t>产生的固废均已合理处置，不外排。</w:t>
      </w:r>
    </w:p>
    <w:p>
      <w:pPr>
        <w:ind w:firstLine="482"/>
        <w:rPr>
          <w:b/>
          <w:bCs/>
        </w:rPr>
      </w:pPr>
      <w:r>
        <w:rPr>
          <w:rFonts w:hint="eastAsia"/>
          <w:b/>
          <w:bCs/>
        </w:rPr>
        <w:t>4</w:t>
      </w:r>
      <w:r>
        <w:rPr>
          <w:b/>
          <w:bCs/>
        </w:rPr>
        <w:t>、总量核算</w:t>
      </w:r>
    </w:p>
    <w:p>
      <w:pPr>
        <w:ind w:firstLine="480"/>
      </w:pPr>
      <w:bookmarkStart w:id="1218" w:name="_Toc4511_WPSOffice_Level2"/>
      <w:bookmarkStart w:id="1219" w:name="_Toc32266"/>
      <w:bookmarkStart w:id="1220" w:name="_Toc18282_WPSOffice_Level2"/>
      <w:bookmarkStart w:id="1221" w:name="_Toc4501"/>
      <w:bookmarkStart w:id="1222" w:name="_Toc15374_WPSOffice_Level2"/>
      <w:bookmarkStart w:id="1223" w:name="_Toc27786"/>
      <w:bookmarkStart w:id="1224" w:name="_Toc18106"/>
      <w:bookmarkStart w:id="1225" w:name="_Toc25138_WPSOffice_Level2"/>
      <w:bookmarkStart w:id="1226" w:name="_Toc27458"/>
      <w:r>
        <w:t>核算有组织废气颗粒物、VOCs排放总量分别为</w:t>
      </w:r>
      <w:r>
        <w:rPr>
          <w:rFonts w:hint="eastAsia"/>
        </w:rPr>
        <w:t>0.103</w:t>
      </w:r>
      <w:r>
        <w:t xml:space="preserve"> t/a、</w:t>
      </w:r>
      <w:r>
        <w:rPr>
          <w:rFonts w:hint="eastAsia"/>
        </w:rPr>
        <w:t>0.034</w:t>
      </w:r>
      <w:r>
        <w:t xml:space="preserve"> t/a，满足颗粒物、VOCs总量指标</w:t>
      </w:r>
      <w:r>
        <w:rPr>
          <w:rFonts w:hint="eastAsia"/>
        </w:rPr>
        <w:t>0.106</w:t>
      </w:r>
      <w:r>
        <w:t xml:space="preserve"> t/a、</w:t>
      </w:r>
      <w:r>
        <w:rPr>
          <w:rFonts w:hint="eastAsia"/>
        </w:rPr>
        <w:t>0.035</w:t>
      </w:r>
      <w:r>
        <w:t xml:space="preserve"> t/a要求。</w:t>
      </w:r>
    </w:p>
    <w:p>
      <w:pPr>
        <w:pStyle w:val="4"/>
        <w:rPr>
          <w:highlight w:val="none"/>
        </w:rPr>
      </w:pPr>
      <w:bookmarkStart w:id="1227" w:name="_Toc8324"/>
      <w:r>
        <w:rPr>
          <w:highlight w:val="none"/>
        </w:rPr>
        <w:t>11.2工程建设对环境的影响</w:t>
      </w:r>
      <w:bookmarkEnd w:id="1218"/>
      <w:bookmarkEnd w:id="1219"/>
      <w:bookmarkEnd w:id="1220"/>
      <w:bookmarkEnd w:id="1221"/>
      <w:bookmarkEnd w:id="1222"/>
      <w:bookmarkEnd w:id="1223"/>
      <w:bookmarkEnd w:id="1224"/>
      <w:bookmarkEnd w:id="1225"/>
      <w:bookmarkEnd w:id="1226"/>
      <w:bookmarkEnd w:id="1227"/>
    </w:p>
    <w:p>
      <w:pPr>
        <w:ind w:firstLine="480"/>
        <w:rPr>
          <w:highlight w:val="none"/>
        </w:rPr>
      </w:pPr>
      <w:r>
        <w:rPr>
          <w:kern w:val="0"/>
          <w:highlight w:val="none"/>
        </w:rPr>
        <w:t>验收监测期间，项目周边敏感点</w:t>
      </w:r>
      <w:r>
        <w:rPr>
          <w:rFonts w:hint="eastAsia"/>
          <w:highlight w:val="none"/>
        </w:rPr>
        <w:t>大埝村</w:t>
      </w:r>
      <w:r>
        <w:rPr>
          <w:highlight w:val="none"/>
        </w:rPr>
        <w:t>VOCs(以非甲烷总烃计)最大为0.68mg/m³，符合《大气污染物综合排放标准》（GB 16297-1996）要求。</w:t>
      </w:r>
    </w:p>
    <w:p>
      <w:pPr>
        <w:pStyle w:val="4"/>
      </w:pPr>
      <w:bookmarkStart w:id="1228" w:name="_Toc27860"/>
      <w:bookmarkStart w:id="1229" w:name="_Toc980_WPSOffice_Level2"/>
      <w:bookmarkStart w:id="1230" w:name="_Toc9272_WPSOffice_Level2"/>
      <w:bookmarkStart w:id="1231" w:name="_Toc20350"/>
      <w:bookmarkStart w:id="1232" w:name="_Toc14625"/>
      <w:bookmarkStart w:id="1233" w:name="_Toc27190"/>
      <w:bookmarkStart w:id="1234" w:name="_Toc12816"/>
      <w:bookmarkStart w:id="1235" w:name="_Toc29807"/>
      <w:r>
        <w:t>11.3验收结论</w:t>
      </w:r>
      <w:bookmarkEnd w:id="1228"/>
      <w:bookmarkEnd w:id="1229"/>
      <w:bookmarkEnd w:id="1230"/>
      <w:bookmarkEnd w:id="1231"/>
      <w:bookmarkEnd w:id="1232"/>
      <w:bookmarkEnd w:id="1233"/>
      <w:bookmarkEnd w:id="1234"/>
      <w:bookmarkEnd w:id="1235"/>
    </w:p>
    <w:p>
      <w:pPr>
        <w:ind w:firstLine="480"/>
      </w:pPr>
      <w:r>
        <w:t>通过对比，环评及验收期间，项目周边无新增敏感目标，监测结果表明：工程投产后废水、废气、噪声、环境空气特征污染物均能稳定达标排放，固体废物得到合理处置，工程建设未对周边环境造成不利影响。</w:t>
      </w:r>
    </w:p>
    <w:p>
      <w:pPr>
        <w:ind w:firstLine="480"/>
      </w:pPr>
      <w:r>
        <w:t>本次验收项目各项环境保护设施已按照环境影响报告表、枣庄市生态环境局峄城分局批复意见的相关要求建成，落实了相关环保设施措施，且环保设施稳定运行。按《建设项目竣工环境保护验收暂行办法》对项目逐一对照核查，无其中所规定的验收不合格情形。工程建设未对周边环境造成不利影响。符合竣工环境保护验收条件。</w:t>
      </w:r>
    </w:p>
    <w:p>
      <w:pPr>
        <w:pStyle w:val="33"/>
        <w:ind w:firstLine="0" w:firstLineChars="0"/>
        <w:rPr>
          <w:color w:val="FF0000"/>
          <w:highlight w:val="darkYellow"/>
        </w:rPr>
        <w:sectPr>
          <w:pgSz w:w="11905" w:h="16838"/>
          <w:pgMar w:top="1247" w:right="1247" w:bottom="1247" w:left="1247" w:header="709" w:footer="680" w:gutter="0"/>
          <w:cols w:space="0" w:num="1"/>
          <w:docGrid w:type="lines" w:linePitch="336" w:charSpace="0"/>
        </w:sectPr>
      </w:pPr>
    </w:p>
    <w:p>
      <w:pPr>
        <w:ind w:firstLine="640"/>
        <w:jc w:val="center"/>
        <w:rPr>
          <w:sz w:val="32"/>
          <w:szCs w:val="32"/>
        </w:rPr>
      </w:pPr>
      <w:bookmarkStart w:id="1236" w:name="_Toc28689"/>
      <w:bookmarkStart w:id="1237" w:name="_Toc1488"/>
      <w:bookmarkStart w:id="1238" w:name="_Toc9526"/>
      <w:r>
        <w:rPr>
          <w:sz w:val="32"/>
          <w:szCs w:val="32"/>
        </w:rPr>
        <w:t>建设项目工程竣工环境保护“三同时”验收登记表</w:t>
      </w:r>
      <w:bookmarkEnd w:id="1236"/>
      <w:bookmarkEnd w:id="1237"/>
      <w:bookmarkEnd w:id="1238"/>
    </w:p>
    <w:p>
      <w:pPr>
        <w:ind w:firstLine="482"/>
        <w:rPr>
          <w:b/>
          <w:bCs/>
        </w:rPr>
      </w:pPr>
      <w:bookmarkStart w:id="1239" w:name="_Toc27601"/>
      <w:r>
        <w:rPr>
          <w:b/>
          <w:bCs/>
        </w:rPr>
        <w:t>填表单位（盖章）:</w:t>
      </w:r>
      <w:r>
        <w:rPr>
          <w:rFonts w:hint="eastAsia"/>
          <w:b/>
          <w:bCs/>
        </w:rPr>
        <w:t>山东德勤智能设备有限公司</w:t>
      </w:r>
      <w:r>
        <w:rPr>
          <w:b/>
          <w:bCs/>
        </w:rPr>
        <w:t xml:space="preserve">                    填表人（签字）:                     项目经办人（签字）:</w:t>
      </w:r>
      <w:bookmarkEnd w:id="1239"/>
    </w:p>
    <w:tbl>
      <w:tblPr>
        <w:tblStyle w:val="34"/>
        <w:tblW w:w="14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17"/>
        <w:gridCol w:w="758"/>
        <w:gridCol w:w="685"/>
        <w:gridCol w:w="1138"/>
        <w:gridCol w:w="764"/>
        <w:gridCol w:w="323"/>
        <w:gridCol w:w="896"/>
        <w:gridCol w:w="380"/>
        <w:gridCol w:w="674"/>
        <w:gridCol w:w="913"/>
        <w:gridCol w:w="63"/>
        <w:gridCol w:w="1049"/>
        <w:gridCol w:w="1459"/>
        <w:gridCol w:w="1636"/>
        <w:gridCol w:w="902"/>
        <w:gridCol w:w="91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restart"/>
            <w:tcMar>
              <w:left w:w="28" w:type="dxa"/>
              <w:right w:w="28" w:type="dxa"/>
            </w:tcMar>
            <w:vAlign w:val="center"/>
          </w:tcPr>
          <w:p>
            <w:pPr>
              <w:widowControl/>
              <w:adjustRightInd w:val="0"/>
              <w:snapToGrid w:val="0"/>
              <w:spacing w:line="240" w:lineRule="auto"/>
              <w:ind w:firstLine="0" w:firstLineChars="0"/>
              <w:jc w:val="left"/>
              <w:rPr>
                <w:b/>
                <w:bCs/>
                <w:kern w:val="0"/>
                <w:sz w:val="15"/>
                <w:szCs w:val="15"/>
              </w:rPr>
            </w:pPr>
            <w:r>
              <w:rPr>
                <w:b/>
                <w:bCs/>
                <w:kern w:val="0"/>
                <w:sz w:val="15"/>
                <w:szCs w:val="15"/>
              </w:rPr>
              <w:t>建</w:t>
            </w:r>
          </w:p>
          <w:p>
            <w:pPr>
              <w:widowControl/>
              <w:adjustRightInd w:val="0"/>
              <w:snapToGrid w:val="0"/>
              <w:spacing w:line="240" w:lineRule="auto"/>
              <w:ind w:firstLine="0" w:firstLineChars="0"/>
              <w:jc w:val="left"/>
              <w:rPr>
                <w:b/>
                <w:bCs/>
                <w:kern w:val="0"/>
                <w:sz w:val="15"/>
                <w:szCs w:val="15"/>
              </w:rPr>
            </w:pPr>
            <w:r>
              <w:rPr>
                <w:b/>
                <w:bCs/>
                <w:kern w:val="0"/>
                <w:sz w:val="15"/>
                <w:szCs w:val="15"/>
              </w:rPr>
              <w:t>设</w:t>
            </w:r>
          </w:p>
          <w:p>
            <w:pPr>
              <w:widowControl/>
              <w:adjustRightInd w:val="0"/>
              <w:snapToGrid w:val="0"/>
              <w:spacing w:line="240" w:lineRule="auto"/>
              <w:ind w:firstLine="0" w:firstLineChars="0"/>
              <w:jc w:val="left"/>
              <w:rPr>
                <w:b/>
                <w:bCs/>
                <w:kern w:val="0"/>
                <w:sz w:val="15"/>
                <w:szCs w:val="15"/>
              </w:rPr>
            </w:pPr>
            <w:r>
              <w:rPr>
                <w:b/>
                <w:bCs/>
                <w:kern w:val="0"/>
                <w:sz w:val="15"/>
                <w:szCs w:val="15"/>
              </w:rPr>
              <w:t>项</w:t>
            </w:r>
          </w:p>
          <w:p>
            <w:pPr>
              <w:widowControl/>
              <w:adjustRightInd w:val="0"/>
              <w:snapToGrid w:val="0"/>
              <w:spacing w:line="240" w:lineRule="auto"/>
              <w:ind w:firstLine="0" w:firstLineChars="0"/>
              <w:jc w:val="left"/>
              <w:rPr>
                <w:b/>
                <w:bCs/>
                <w:kern w:val="0"/>
                <w:sz w:val="15"/>
                <w:szCs w:val="15"/>
              </w:rPr>
            </w:pPr>
            <w:r>
              <w:rPr>
                <w:b/>
                <w:bCs/>
                <w:kern w:val="0"/>
                <w:sz w:val="15"/>
                <w:szCs w:val="15"/>
              </w:rPr>
              <w:t>目</w:t>
            </w: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项目名称</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智能木业机械设备制造项目</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项目代码</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left"/>
              <w:rPr>
                <w:b/>
                <w:bCs/>
                <w:kern w:val="0"/>
                <w:sz w:val="15"/>
                <w:szCs w:val="15"/>
              </w:rPr>
            </w:pPr>
            <w:r>
              <w:rPr>
                <w:b/>
                <w:bCs/>
                <w:kern w:val="0"/>
                <w:sz w:val="15"/>
                <w:szCs w:val="15"/>
              </w:rPr>
              <w:t>建设地点</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枣庄市峄城区吴林街道吴林大埝园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行业类别</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C3579 其他农、林、牧、渔业机械制造</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建设性质</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√新建  改扩建  技术改造</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厂区中心经度/纬度</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东经117.</w:t>
            </w:r>
            <w:r>
              <w:rPr>
                <w:rFonts w:hint="eastAsia"/>
                <w:b/>
                <w:bCs/>
                <w:kern w:val="0"/>
                <w:sz w:val="15"/>
                <w:szCs w:val="15"/>
              </w:rPr>
              <w:t>626</w:t>
            </w:r>
            <w:r>
              <w:rPr>
                <w:b/>
                <w:bCs/>
                <w:kern w:val="0"/>
                <w:sz w:val="15"/>
                <w:szCs w:val="15"/>
              </w:rPr>
              <w:t>度，北纬34.74</w:t>
            </w:r>
            <w:r>
              <w:rPr>
                <w:rFonts w:hint="eastAsia"/>
                <w:b/>
                <w:bCs/>
                <w:kern w:val="0"/>
                <w:sz w:val="15"/>
                <w:szCs w:val="15"/>
              </w:rPr>
              <w:t>0</w:t>
            </w:r>
            <w:r>
              <w:rPr>
                <w:b/>
                <w:bCs/>
                <w:kern w:val="0"/>
                <w:sz w:val="15"/>
                <w:szCs w:val="15"/>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设计生产能力</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年产2万吨</w:t>
            </w:r>
            <w:r>
              <w:rPr>
                <w:rFonts w:hint="eastAsia"/>
                <w:b/>
                <w:bCs/>
                <w:kern w:val="0"/>
                <w:sz w:val="15"/>
                <w:szCs w:val="15"/>
              </w:rPr>
              <w:t>智能木业机械设备制造</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实际生产能力</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年产</w:t>
            </w:r>
            <w:r>
              <w:rPr>
                <w:rFonts w:hint="eastAsia"/>
                <w:b/>
                <w:bCs/>
                <w:kern w:val="0"/>
                <w:sz w:val="15"/>
                <w:szCs w:val="15"/>
              </w:rPr>
              <w:t>1000套</w:t>
            </w:r>
            <w:r>
              <w:rPr>
                <w:b/>
                <w:bCs/>
                <w:kern w:val="0"/>
                <w:sz w:val="15"/>
                <w:szCs w:val="15"/>
              </w:rPr>
              <w:t>智能木业码垛机械设备</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环评单位</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山东益源环保科技有限公司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环评文件审批机关</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枣庄市生态环境局峄城分局</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审批文号</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枣环峄审字[202</w:t>
            </w:r>
            <w:r>
              <w:rPr>
                <w:rFonts w:hint="eastAsia"/>
                <w:b/>
                <w:bCs/>
                <w:kern w:val="0"/>
                <w:sz w:val="15"/>
                <w:szCs w:val="15"/>
              </w:rPr>
              <w:t>3</w:t>
            </w:r>
            <w:r>
              <w:rPr>
                <w:b/>
                <w:bCs/>
                <w:kern w:val="0"/>
                <w:sz w:val="15"/>
                <w:szCs w:val="15"/>
              </w:rPr>
              <w:t>]</w:t>
            </w:r>
            <w:r>
              <w:rPr>
                <w:rFonts w:hint="eastAsia"/>
                <w:b/>
                <w:bCs/>
                <w:kern w:val="0"/>
                <w:sz w:val="15"/>
                <w:szCs w:val="15"/>
              </w:rPr>
              <w:t>04</w:t>
            </w:r>
            <w:r>
              <w:rPr>
                <w:b/>
                <w:bCs/>
                <w:kern w:val="0"/>
                <w:sz w:val="15"/>
                <w:szCs w:val="15"/>
              </w:rPr>
              <w:t>号</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环评文件类型</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开工日期</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202</w:t>
            </w:r>
            <w:r>
              <w:rPr>
                <w:rFonts w:hint="eastAsia"/>
                <w:b/>
                <w:bCs/>
                <w:kern w:val="0"/>
                <w:sz w:val="15"/>
                <w:szCs w:val="15"/>
              </w:rPr>
              <w:t>3</w:t>
            </w:r>
            <w:r>
              <w:rPr>
                <w:b/>
                <w:bCs/>
                <w:kern w:val="0"/>
                <w:sz w:val="15"/>
                <w:szCs w:val="15"/>
              </w:rPr>
              <w:t>年</w:t>
            </w:r>
            <w:r>
              <w:rPr>
                <w:rFonts w:hint="eastAsia"/>
                <w:b/>
                <w:bCs/>
                <w:kern w:val="0"/>
                <w:sz w:val="15"/>
                <w:szCs w:val="15"/>
              </w:rPr>
              <w:t>3</w:t>
            </w:r>
            <w:r>
              <w:rPr>
                <w:b/>
                <w:bCs/>
                <w:kern w:val="0"/>
                <w:sz w:val="15"/>
                <w:szCs w:val="15"/>
              </w:rPr>
              <w:t>月</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竣工日期</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202</w:t>
            </w:r>
            <w:r>
              <w:rPr>
                <w:rFonts w:hint="eastAsia"/>
                <w:b/>
                <w:bCs/>
                <w:kern w:val="0"/>
                <w:sz w:val="15"/>
                <w:szCs w:val="15"/>
              </w:rPr>
              <w:t>3</w:t>
            </w:r>
            <w:r>
              <w:rPr>
                <w:b/>
                <w:bCs/>
                <w:kern w:val="0"/>
                <w:sz w:val="15"/>
                <w:szCs w:val="15"/>
              </w:rPr>
              <w:t>年</w:t>
            </w:r>
            <w:r>
              <w:rPr>
                <w:rFonts w:hint="eastAsia"/>
                <w:b/>
                <w:bCs/>
                <w:kern w:val="0"/>
                <w:sz w:val="15"/>
                <w:szCs w:val="15"/>
              </w:rPr>
              <w:t>10</w:t>
            </w:r>
            <w:r>
              <w:rPr>
                <w:b/>
                <w:bCs/>
                <w:kern w:val="0"/>
                <w:sz w:val="15"/>
                <w:szCs w:val="15"/>
              </w:rPr>
              <w:t>月</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排污许可证申领时间</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202</w:t>
            </w:r>
            <w:r>
              <w:rPr>
                <w:rFonts w:hint="eastAsia"/>
                <w:b/>
                <w:bCs/>
                <w:kern w:val="0"/>
                <w:sz w:val="15"/>
                <w:szCs w:val="15"/>
              </w:rPr>
              <w:t>3年10月11日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环保设施设计单位</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环保设施施工单位</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本工程排污许可证编号</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91370404MA3QRGPB6C001W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验收单位</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山东德勤智能设备有限公司</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环保设施监测单位</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 xml:space="preserve"> </w:t>
            </w:r>
            <w:r>
              <w:rPr>
                <w:b/>
                <w:bCs/>
                <w:kern w:val="0"/>
                <w:sz w:val="15"/>
                <w:szCs w:val="15"/>
              </w:rPr>
              <w:t>山东信泽环境检测有限公司</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验收监测时工况</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100</w:t>
            </w:r>
            <w:r>
              <w:rPr>
                <w:rFonts w:hint="eastAsia"/>
                <w:b/>
                <w:bCs/>
                <w:kern w:val="0"/>
                <w:sz w:val="15"/>
                <w:szCs w:val="15"/>
              </w:rPr>
              <w:t>%</w:t>
            </w:r>
            <w:r>
              <w:rPr>
                <w:b/>
                <w:bCs/>
                <w:kern w:val="0"/>
                <w:sz w:val="15"/>
                <w:szCs w:val="15"/>
              </w:rPr>
              <w:t>、100</w:t>
            </w:r>
            <w:r>
              <w:rPr>
                <w:rFonts w:hint="eastAsia"/>
                <w:b/>
                <w:bCs/>
                <w:kern w:val="0"/>
                <w:sz w:val="15"/>
                <w:szCs w:val="15"/>
              </w:rPr>
              <w:t>%、</w:t>
            </w:r>
            <w:r>
              <w:rPr>
                <w:b/>
                <w:bCs/>
                <w:kern w:val="0"/>
                <w:sz w:val="15"/>
                <w:szCs w:val="15"/>
              </w:rPr>
              <w:t>100</w:t>
            </w:r>
            <w:r>
              <w:rPr>
                <w:rFonts w:hint="eastAsia"/>
                <w:b/>
                <w:bCs/>
                <w:kern w:val="0"/>
                <w:sz w:val="15"/>
                <w:szCs w:val="15"/>
              </w:rPr>
              <w:t>%、</w:t>
            </w:r>
            <w:r>
              <w:rPr>
                <w:b/>
                <w:bCs/>
                <w:kern w:val="0"/>
                <w:sz w:val="15"/>
                <w:szCs w:val="15"/>
              </w:rPr>
              <w:t>100</w:t>
            </w:r>
            <w:r>
              <w:rPr>
                <w:rFonts w:hint="eastAsia"/>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投资总概算（万元）</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4500</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环保投资总概算（万元）</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100</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所占比例（%）</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实际总投资（万元）</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4386.3</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实际环保投资（万元）</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98.8</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所占比例（%）</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废水治理（万元）</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12.4</w:t>
            </w: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废气治理（万元）</w:t>
            </w:r>
          </w:p>
        </w:tc>
        <w:tc>
          <w:tcPr>
            <w:tcW w:w="764"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70.3</w:t>
            </w:r>
          </w:p>
        </w:tc>
        <w:tc>
          <w:tcPr>
            <w:tcW w:w="1219"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噪声治理（万元）</w:t>
            </w:r>
          </w:p>
        </w:tc>
        <w:tc>
          <w:tcPr>
            <w:tcW w:w="380"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9.45</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固体废物治理（万元）</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4.86</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绿化及生态（万元）</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1</w:t>
            </w:r>
            <w:r>
              <w:rPr>
                <w:rFonts w:hint="eastAsia"/>
                <w:b/>
                <w:bCs/>
                <w:kern w:val="0"/>
                <w:sz w:val="15"/>
                <w:szCs w:val="15"/>
              </w:rPr>
              <w:t>.79</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其它（万元）</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left"/>
              <w:rPr>
                <w:b/>
                <w:bCs/>
                <w:color w:val="FF0000"/>
                <w:kern w:val="0"/>
                <w:sz w:val="15"/>
                <w:szCs w:val="15"/>
                <w:highlight w:val="darkYellow"/>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新增废水处理设施能力</w:t>
            </w:r>
          </w:p>
        </w:tc>
        <w:tc>
          <w:tcPr>
            <w:tcW w:w="4186" w:type="dxa"/>
            <w:gridSpan w:val="6"/>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50"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新增废气处理设施能力</w:t>
            </w:r>
          </w:p>
        </w:tc>
        <w:tc>
          <w:tcPr>
            <w:tcW w:w="2508"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年平均工作时</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21</w:t>
            </w:r>
            <w:r>
              <w:rPr>
                <w:b/>
                <w:bCs/>
                <w:kern w:val="0"/>
                <w:sz w:val="15"/>
                <w:szCs w:val="15"/>
              </w:rPr>
              <w:t>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运营单位</w:t>
            </w:r>
          </w:p>
        </w:tc>
        <w:tc>
          <w:tcPr>
            <w:tcW w:w="3806" w:type="dxa"/>
            <w:gridSpan w:val="5"/>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山东德勤智能设备有限公司</w:t>
            </w:r>
          </w:p>
        </w:tc>
        <w:tc>
          <w:tcPr>
            <w:tcW w:w="3079" w:type="dxa"/>
            <w:gridSpan w:val="5"/>
            <w:tcMar>
              <w:left w:w="28" w:type="dxa"/>
              <w:right w:w="28" w:type="dxa"/>
            </w:tcMar>
            <w:vAlign w:val="center"/>
          </w:tcPr>
          <w:p>
            <w:pPr>
              <w:widowControl/>
              <w:adjustRightInd w:val="0"/>
              <w:snapToGrid w:val="0"/>
              <w:spacing w:line="240" w:lineRule="auto"/>
              <w:ind w:firstLine="0" w:firstLineChars="0"/>
              <w:jc w:val="left"/>
              <w:rPr>
                <w:b/>
                <w:bCs/>
                <w:kern w:val="0"/>
                <w:sz w:val="15"/>
                <w:szCs w:val="15"/>
              </w:rPr>
            </w:pPr>
            <w:r>
              <w:rPr>
                <w:b/>
                <w:bCs/>
                <w:kern w:val="0"/>
                <w:sz w:val="15"/>
                <w:szCs w:val="15"/>
              </w:rPr>
              <w:t>运营单位社会统一信用代码（或组织机构代码）</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91370404MA3QRGPB6C</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验收时间</w:t>
            </w:r>
          </w:p>
        </w:tc>
        <w:tc>
          <w:tcPr>
            <w:tcW w:w="2608" w:type="dxa"/>
            <w:gridSpan w:val="3"/>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2023.</w:t>
            </w:r>
            <w:r>
              <w:rPr>
                <w:rFonts w:hint="eastAsia"/>
                <w:b/>
                <w:bCs/>
                <w:kern w:val="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restart"/>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污染</w:t>
            </w:r>
          </w:p>
          <w:p>
            <w:pPr>
              <w:widowControl/>
              <w:adjustRightInd w:val="0"/>
              <w:snapToGrid w:val="0"/>
              <w:spacing w:line="240" w:lineRule="auto"/>
              <w:ind w:firstLine="0" w:firstLineChars="0"/>
              <w:jc w:val="center"/>
              <w:rPr>
                <w:b/>
                <w:bCs/>
                <w:kern w:val="0"/>
                <w:sz w:val="15"/>
                <w:szCs w:val="15"/>
              </w:rPr>
            </w:pPr>
            <w:r>
              <w:rPr>
                <w:b/>
                <w:bCs/>
                <w:kern w:val="0"/>
                <w:sz w:val="15"/>
                <w:szCs w:val="15"/>
              </w:rPr>
              <w:t>物排</w:t>
            </w:r>
          </w:p>
          <w:p>
            <w:pPr>
              <w:widowControl/>
              <w:adjustRightInd w:val="0"/>
              <w:snapToGrid w:val="0"/>
              <w:spacing w:line="240" w:lineRule="auto"/>
              <w:ind w:firstLine="0" w:firstLineChars="0"/>
              <w:jc w:val="center"/>
              <w:rPr>
                <w:b/>
                <w:bCs/>
                <w:kern w:val="0"/>
                <w:sz w:val="15"/>
                <w:szCs w:val="15"/>
              </w:rPr>
            </w:pPr>
            <w:r>
              <w:rPr>
                <w:b/>
                <w:bCs/>
                <w:kern w:val="0"/>
                <w:sz w:val="15"/>
                <w:szCs w:val="15"/>
              </w:rPr>
              <w:t>放达</w:t>
            </w:r>
          </w:p>
          <w:p>
            <w:pPr>
              <w:widowControl/>
              <w:adjustRightInd w:val="0"/>
              <w:snapToGrid w:val="0"/>
              <w:spacing w:line="240" w:lineRule="auto"/>
              <w:ind w:firstLine="0" w:firstLineChars="0"/>
              <w:jc w:val="center"/>
              <w:rPr>
                <w:b/>
                <w:bCs/>
                <w:kern w:val="0"/>
                <w:sz w:val="15"/>
                <w:szCs w:val="15"/>
              </w:rPr>
            </w:pPr>
            <w:r>
              <w:rPr>
                <w:b/>
                <w:bCs/>
                <w:kern w:val="0"/>
                <w:sz w:val="15"/>
                <w:szCs w:val="15"/>
              </w:rPr>
              <w:t>标与</w:t>
            </w:r>
          </w:p>
          <w:p>
            <w:pPr>
              <w:widowControl/>
              <w:adjustRightInd w:val="0"/>
              <w:snapToGrid w:val="0"/>
              <w:spacing w:line="240" w:lineRule="auto"/>
              <w:ind w:firstLine="0" w:firstLineChars="0"/>
              <w:jc w:val="center"/>
              <w:rPr>
                <w:b/>
                <w:bCs/>
                <w:kern w:val="0"/>
                <w:sz w:val="15"/>
                <w:szCs w:val="15"/>
              </w:rPr>
            </w:pPr>
            <w:r>
              <w:rPr>
                <w:b/>
                <w:bCs/>
                <w:kern w:val="0"/>
                <w:sz w:val="15"/>
                <w:szCs w:val="15"/>
              </w:rPr>
              <w:t>总量</w:t>
            </w:r>
          </w:p>
          <w:p>
            <w:pPr>
              <w:widowControl/>
              <w:adjustRightInd w:val="0"/>
              <w:snapToGrid w:val="0"/>
              <w:spacing w:line="240" w:lineRule="auto"/>
              <w:ind w:firstLine="0" w:firstLineChars="0"/>
              <w:jc w:val="center"/>
              <w:rPr>
                <w:b/>
                <w:bCs/>
                <w:kern w:val="0"/>
                <w:sz w:val="15"/>
                <w:szCs w:val="15"/>
              </w:rPr>
            </w:pPr>
            <w:r>
              <w:rPr>
                <w:b/>
                <w:bCs/>
                <w:kern w:val="0"/>
                <w:sz w:val="15"/>
                <w:szCs w:val="15"/>
              </w:rPr>
              <w:t>控制</w:t>
            </w:r>
          </w:p>
          <w:p>
            <w:pPr>
              <w:widowControl/>
              <w:adjustRightInd w:val="0"/>
              <w:snapToGrid w:val="0"/>
              <w:spacing w:line="240" w:lineRule="auto"/>
              <w:ind w:firstLine="0" w:firstLineChars="0"/>
              <w:jc w:val="center"/>
              <w:rPr>
                <w:b/>
                <w:bCs/>
                <w:kern w:val="0"/>
                <w:sz w:val="15"/>
                <w:szCs w:val="15"/>
              </w:rPr>
            </w:pPr>
            <w:r>
              <w:rPr>
                <w:b/>
                <w:bCs/>
                <w:kern w:val="0"/>
                <w:sz w:val="15"/>
                <w:szCs w:val="15"/>
              </w:rPr>
              <w:t>（工</w:t>
            </w:r>
          </w:p>
          <w:p>
            <w:pPr>
              <w:widowControl/>
              <w:adjustRightInd w:val="0"/>
              <w:snapToGrid w:val="0"/>
              <w:spacing w:line="240" w:lineRule="auto"/>
              <w:ind w:firstLine="0" w:firstLineChars="0"/>
              <w:jc w:val="center"/>
              <w:rPr>
                <w:b/>
                <w:bCs/>
                <w:kern w:val="0"/>
                <w:sz w:val="15"/>
                <w:szCs w:val="15"/>
              </w:rPr>
            </w:pPr>
            <w:r>
              <w:rPr>
                <w:b/>
                <w:bCs/>
                <w:kern w:val="0"/>
                <w:sz w:val="15"/>
                <w:szCs w:val="15"/>
              </w:rPr>
              <w:t>业建</w:t>
            </w:r>
          </w:p>
          <w:p>
            <w:pPr>
              <w:widowControl/>
              <w:adjustRightInd w:val="0"/>
              <w:snapToGrid w:val="0"/>
              <w:spacing w:line="240" w:lineRule="auto"/>
              <w:ind w:firstLine="0" w:firstLineChars="0"/>
              <w:jc w:val="center"/>
              <w:rPr>
                <w:b/>
                <w:bCs/>
                <w:kern w:val="0"/>
                <w:sz w:val="15"/>
                <w:szCs w:val="15"/>
              </w:rPr>
            </w:pPr>
            <w:r>
              <w:rPr>
                <w:b/>
                <w:bCs/>
                <w:kern w:val="0"/>
                <w:sz w:val="15"/>
                <w:szCs w:val="15"/>
              </w:rPr>
              <w:t>设项</w:t>
            </w:r>
          </w:p>
          <w:p>
            <w:pPr>
              <w:widowControl/>
              <w:adjustRightInd w:val="0"/>
              <w:snapToGrid w:val="0"/>
              <w:spacing w:line="240" w:lineRule="auto"/>
              <w:ind w:firstLine="0" w:firstLineChars="0"/>
              <w:jc w:val="center"/>
              <w:rPr>
                <w:b/>
                <w:bCs/>
                <w:kern w:val="0"/>
                <w:sz w:val="15"/>
                <w:szCs w:val="15"/>
              </w:rPr>
            </w:pPr>
            <w:r>
              <w:rPr>
                <w:b/>
                <w:bCs/>
                <w:kern w:val="0"/>
                <w:sz w:val="15"/>
                <w:szCs w:val="15"/>
              </w:rPr>
              <w:t>目详</w:t>
            </w:r>
          </w:p>
          <w:p>
            <w:pPr>
              <w:widowControl/>
              <w:adjustRightInd w:val="0"/>
              <w:snapToGrid w:val="0"/>
              <w:spacing w:line="240" w:lineRule="auto"/>
              <w:ind w:firstLine="0" w:firstLineChars="0"/>
              <w:jc w:val="center"/>
              <w:rPr>
                <w:b/>
                <w:bCs/>
                <w:kern w:val="0"/>
                <w:sz w:val="15"/>
                <w:szCs w:val="15"/>
              </w:rPr>
            </w:pPr>
            <w:r>
              <w:rPr>
                <w:b/>
                <w:bCs/>
                <w:kern w:val="0"/>
                <w:sz w:val="15"/>
                <w:szCs w:val="15"/>
              </w:rPr>
              <w:t>填）</w:t>
            </w: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污染物</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原有排放量（1）</w:t>
            </w: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本期工程实际排放浓度（2）</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本期工程允许排放浓度（3）</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本期工程产生量（4）</w:t>
            </w: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本期工程自身削减量（5）</w:t>
            </w: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本期工程实际排放量（6）</w:t>
            </w: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本期工程核定排放量（7）</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本期工程“以新带老”削减量（8）</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全厂实际排放总量（9）</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全厂核定排放总量（10）</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区域平衡替代削减量（11）</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废水</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0</w:t>
            </w: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化学需氧量</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0</w:t>
            </w: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0</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氨氮</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0</w:t>
            </w: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0</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石油类</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0</w:t>
            </w: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废气</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7210.98</w:t>
            </w: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3283</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二氧化硫</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753" w:firstLineChars="500"/>
              <w:rPr>
                <w:b/>
                <w:bCs/>
                <w:kern w:val="0"/>
                <w:sz w:val="15"/>
                <w:szCs w:val="15"/>
              </w:rPr>
            </w:pPr>
            <w:r>
              <w:rPr>
                <w:b/>
                <w:bCs/>
                <w:kern w:val="0"/>
                <w:sz w:val="15"/>
                <w:szCs w:val="15"/>
              </w:rPr>
              <w:t>/</w:t>
            </w:r>
          </w:p>
        </w:tc>
        <w:tc>
          <w:tcPr>
            <w:tcW w:w="902" w:type="dxa"/>
            <w:tcMar>
              <w:left w:w="28" w:type="dxa"/>
              <w:right w:w="28" w:type="dxa"/>
            </w:tcMar>
            <w:vAlign w:val="center"/>
          </w:tcPr>
          <w:p>
            <w:pPr>
              <w:widowControl/>
              <w:adjustRightInd w:val="0"/>
              <w:snapToGrid w:val="0"/>
              <w:spacing w:line="240" w:lineRule="auto"/>
              <w:ind w:firstLine="452" w:firstLineChars="300"/>
              <w:rPr>
                <w:b/>
                <w:bCs/>
                <w:kern w:val="0"/>
                <w:sz w:val="15"/>
                <w:szCs w:val="15"/>
              </w:rPr>
            </w:pPr>
            <w:r>
              <w:rPr>
                <w:b/>
                <w:bCs/>
                <w:kern w:val="0"/>
                <w:sz w:val="15"/>
                <w:szCs w:val="15"/>
              </w:rPr>
              <w:t>/</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烟尘</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1.5</w:t>
            </w:r>
            <w:r>
              <w:rPr>
                <w:b/>
                <w:bCs/>
                <w:kern w:val="0"/>
                <w:sz w:val="15"/>
                <w:szCs w:val="15"/>
              </w:rPr>
              <w:t>/</w:t>
            </w:r>
            <w:r>
              <w:rPr>
                <w:rFonts w:hint="eastAsia"/>
                <w:b/>
                <w:bCs/>
                <w:kern w:val="0"/>
                <w:sz w:val="15"/>
                <w:szCs w:val="15"/>
              </w:rPr>
              <w:t>1</w:t>
            </w:r>
            <w:r>
              <w:rPr>
                <w:b/>
                <w:bCs/>
                <w:kern w:val="0"/>
                <w:sz w:val="15"/>
                <w:szCs w:val="15"/>
              </w:rPr>
              <w:t>.3/1.</w:t>
            </w:r>
            <w:r>
              <w:rPr>
                <w:rFonts w:hint="eastAsia"/>
                <w:b/>
                <w:bCs/>
                <w:kern w:val="0"/>
                <w:sz w:val="15"/>
                <w:szCs w:val="15"/>
              </w:rPr>
              <w:t>6</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10</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0.106</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0.103</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0.106</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工业粉尘</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氮氧化物</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r>
              <w:rPr>
                <w:b/>
                <w:bCs/>
                <w:kern w:val="0"/>
                <w:sz w:val="15"/>
                <w:szCs w:val="15"/>
              </w:rPr>
              <w:t>/</w:t>
            </w:r>
          </w:p>
        </w:tc>
        <w:tc>
          <w:tcPr>
            <w:tcW w:w="791"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一般工业固体废物</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575"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危险废物</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02"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817" w:type="dxa"/>
            <w:vMerge w:val="restart"/>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与项目有关的其他特征污染物</w:t>
            </w:r>
          </w:p>
        </w:tc>
        <w:tc>
          <w:tcPr>
            <w:tcW w:w="75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b/>
                <w:bCs/>
                <w:kern w:val="0"/>
                <w:sz w:val="15"/>
                <w:szCs w:val="15"/>
              </w:rPr>
              <w:t>VOCs</w:t>
            </w: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pStyle w:val="44"/>
              <w:rPr>
                <w:b/>
                <w:bCs w:val="0"/>
                <w:sz w:val="15"/>
                <w:szCs w:val="13"/>
                <w:vertAlign w:val="superscript"/>
              </w:rPr>
            </w:pPr>
            <w:r>
              <w:rPr>
                <w:rFonts w:hint="eastAsia"/>
                <w:b/>
                <w:kern w:val="0"/>
                <w:sz w:val="15"/>
                <w:szCs w:val="15"/>
              </w:rPr>
              <w:t>1.74</w:t>
            </w:r>
            <w:r>
              <w:rPr>
                <w:b/>
                <w:kern w:val="0"/>
                <w:sz w:val="15"/>
                <w:szCs w:val="15"/>
              </w:rPr>
              <w:t>mg</w:t>
            </w:r>
            <w:r>
              <w:rPr>
                <w:b/>
                <w:bCs w:val="0"/>
                <w:sz w:val="15"/>
                <w:szCs w:val="13"/>
              </w:rPr>
              <w:t>/m</w:t>
            </w:r>
            <w:r>
              <w:rPr>
                <w:b/>
                <w:bCs w:val="0"/>
                <w:sz w:val="15"/>
                <w:szCs w:val="13"/>
                <w:vertAlign w:val="superscript"/>
              </w:rPr>
              <w:t>3</w:t>
            </w:r>
          </w:p>
          <w:p>
            <w:pPr>
              <w:widowControl/>
              <w:adjustRightInd w:val="0"/>
              <w:snapToGrid w:val="0"/>
              <w:spacing w:line="240" w:lineRule="auto"/>
              <w:ind w:firstLine="0" w:firstLineChars="0"/>
              <w:jc w:val="center"/>
              <w:rPr>
                <w:b/>
                <w:bCs/>
                <w:color w:val="FF0000"/>
                <w:kern w:val="0"/>
                <w:sz w:val="15"/>
                <w:szCs w:val="15"/>
              </w:rPr>
            </w:pPr>
            <w:r>
              <w:rPr>
                <w:b/>
                <w:bCs/>
                <w:kern w:val="0"/>
                <w:sz w:val="15"/>
                <w:szCs w:val="15"/>
              </w:rPr>
              <w:t>0.0</w:t>
            </w:r>
            <w:r>
              <w:rPr>
                <w:rFonts w:hint="eastAsia"/>
                <w:b/>
                <w:bCs/>
                <w:kern w:val="0"/>
                <w:sz w:val="15"/>
                <w:szCs w:val="15"/>
              </w:rPr>
              <w:t>16</w:t>
            </w:r>
            <w:r>
              <w:rPr>
                <w:b/>
                <w:bCs/>
                <w:kern w:val="0"/>
                <w:sz w:val="15"/>
                <w:szCs w:val="15"/>
              </w:rPr>
              <w:t>kg/h</w:t>
            </w:r>
          </w:p>
        </w:tc>
        <w:tc>
          <w:tcPr>
            <w:tcW w:w="1087" w:type="dxa"/>
            <w:gridSpan w:val="2"/>
            <w:tcMar>
              <w:left w:w="28" w:type="dxa"/>
              <w:right w:w="28" w:type="dxa"/>
            </w:tcMar>
            <w:vAlign w:val="center"/>
          </w:tcPr>
          <w:p>
            <w:pPr>
              <w:pStyle w:val="44"/>
              <w:rPr>
                <w:b/>
                <w:bCs w:val="0"/>
                <w:sz w:val="15"/>
                <w:szCs w:val="13"/>
                <w:vertAlign w:val="superscript"/>
              </w:rPr>
            </w:pPr>
            <w:r>
              <w:rPr>
                <w:rFonts w:hint="eastAsia"/>
                <w:b/>
                <w:kern w:val="0"/>
                <w:sz w:val="15"/>
                <w:szCs w:val="15"/>
              </w:rPr>
              <w:t>70</w:t>
            </w:r>
            <w:r>
              <w:rPr>
                <w:b/>
                <w:kern w:val="0"/>
                <w:sz w:val="15"/>
                <w:szCs w:val="15"/>
              </w:rPr>
              <w:t>mg</w:t>
            </w:r>
            <w:r>
              <w:rPr>
                <w:b/>
                <w:bCs w:val="0"/>
                <w:sz w:val="15"/>
                <w:szCs w:val="13"/>
              </w:rPr>
              <w:t>/m</w:t>
            </w:r>
            <w:r>
              <w:rPr>
                <w:b/>
                <w:bCs w:val="0"/>
                <w:sz w:val="15"/>
                <w:szCs w:val="13"/>
                <w:vertAlign w:val="superscript"/>
              </w:rPr>
              <w:t>3</w:t>
            </w:r>
          </w:p>
          <w:p>
            <w:pPr>
              <w:widowControl/>
              <w:adjustRightInd w:val="0"/>
              <w:snapToGrid w:val="0"/>
              <w:spacing w:line="240" w:lineRule="auto"/>
              <w:ind w:firstLine="0" w:firstLineChars="0"/>
              <w:jc w:val="center"/>
              <w:rPr>
                <w:b/>
                <w:bCs/>
                <w:color w:val="FF0000"/>
                <w:kern w:val="0"/>
                <w:sz w:val="15"/>
                <w:szCs w:val="15"/>
              </w:rPr>
            </w:pPr>
            <w:r>
              <w:rPr>
                <w:b/>
                <w:bCs/>
                <w:kern w:val="0"/>
                <w:sz w:val="15"/>
                <w:szCs w:val="15"/>
              </w:rPr>
              <w:t>2.</w:t>
            </w:r>
            <w:r>
              <w:rPr>
                <w:rFonts w:hint="eastAsia"/>
                <w:b/>
                <w:bCs/>
                <w:kern w:val="0"/>
                <w:sz w:val="15"/>
                <w:szCs w:val="15"/>
              </w:rPr>
              <w:t>4</w:t>
            </w:r>
            <w:r>
              <w:rPr>
                <w:b/>
                <w:bCs/>
                <w:kern w:val="0"/>
                <w:sz w:val="15"/>
                <w:szCs w:val="15"/>
              </w:rPr>
              <w:t>kg/h</w:t>
            </w: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0.035</w:t>
            </w: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r>
              <w:rPr>
                <w:rFonts w:hint="eastAsia"/>
                <w:b/>
                <w:bCs/>
                <w:kern w:val="0"/>
                <w:sz w:val="15"/>
                <w:szCs w:val="15"/>
              </w:rPr>
              <w:t>0.034</w:t>
            </w:r>
          </w:p>
        </w:tc>
        <w:tc>
          <w:tcPr>
            <w:tcW w:w="902"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r>
              <w:rPr>
                <w:rFonts w:hint="eastAsia"/>
                <w:b/>
                <w:bCs/>
                <w:kern w:val="0"/>
                <w:sz w:val="15"/>
                <w:szCs w:val="15"/>
              </w:rPr>
              <w:t>0.035</w:t>
            </w: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r>
              <w:rPr>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817"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75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459"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902"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3"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817" w:type="dxa"/>
            <w:vMerge w:val="continue"/>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758" w:type="dxa"/>
            <w:tcMar>
              <w:left w:w="28" w:type="dxa"/>
              <w:right w:w="28" w:type="dxa"/>
            </w:tcMar>
            <w:vAlign w:val="center"/>
          </w:tcPr>
          <w:p>
            <w:pPr>
              <w:widowControl/>
              <w:adjustRightInd w:val="0"/>
              <w:snapToGrid w:val="0"/>
              <w:spacing w:line="240" w:lineRule="auto"/>
              <w:ind w:firstLine="0" w:firstLineChars="0"/>
              <w:jc w:val="center"/>
              <w:rPr>
                <w:b/>
                <w:bCs/>
                <w:kern w:val="0"/>
                <w:sz w:val="15"/>
                <w:szCs w:val="15"/>
              </w:rPr>
            </w:pPr>
          </w:p>
        </w:tc>
        <w:tc>
          <w:tcPr>
            <w:tcW w:w="68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38"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87"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89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054"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3"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112" w:type="dxa"/>
            <w:gridSpan w:val="2"/>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459"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1636"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02"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915"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c>
          <w:tcPr>
            <w:tcW w:w="791" w:type="dxa"/>
            <w:tcMar>
              <w:left w:w="28" w:type="dxa"/>
              <w:right w:w="28" w:type="dxa"/>
            </w:tcMar>
            <w:vAlign w:val="center"/>
          </w:tcPr>
          <w:p>
            <w:pPr>
              <w:widowControl/>
              <w:adjustRightInd w:val="0"/>
              <w:snapToGrid w:val="0"/>
              <w:spacing w:line="240" w:lineRule="auto"/>
              <w:ind w:firstLine="0" w:firstLineChars="0"/>
              <w:jc w:val="center"/>
              <w:rPr>
                <w:b/>
                <w:bCs/>
                <w:color w:val="FF0000"/>
                <w:kern w:val="0"/>
                <w:sz w:val="15"/>
                <w:szCs w:val="15"/>
              </w:rPr>
            </w:pPr>
          </w:p>
        </w:tc>
      </w:tr>
    </w:tbl>
    <w:p>
      <w:pPr>
        <w:spacing w:line="240" w:lineRule="auto"/>
        <w:ind w:firstLine="301"/>
        <w:jc w:val="left"/>
        <w:rPr>
          <w:b/>
          <w:sz w:val="15"/>
          <w:szCs w:val="15"/>
        </w:rPr>
      </w:pPr>
      <w:r>
        <w:rPr>
          <w:b/>
          <w:sz w:val="15"/>
          <w:szCs w:val="15"/>
        </w:rPr>
        <w:t>注：1、排放增减量：（+）表示增加，（-）表示减少。2、</w:t>
      </w:r>
      <w:r>
        <w:rPr>
          <w:b/>
          <w:spacing w:val="-8"/>
          <w:sz w:val="15"/>
          <w:szCs w:val="15"/>
        </w:rPr>
        <w:t>（12）=</w:t>
      </w:r>
      <w:r>
        <w:rPr>
          <w:b/>
          <w:spacing w:val="-20"/>
          <w:sz w:val="15"/>
          <w:szCs w:val="15"/>
        </w:rPr>
        <w:t>（6）-（8）-（11），（9）=（4）-（5）-（8）-（11）+（1）。</w:t>
      </w:r>
      <w:r>
        <w:rPr>
          <w:b/>
          <w:sz w:val="15"/>
          <w:szCs w:val="15"/>
        </w:rPr>
        <w:t>3、计量单位：废水排放量--万吨／年；废气排放量--万标立方米／年；工业固体废物排放量--吨／年；水污染物排放浓度--毫克／升；大气污染物排放浓度--毫克／立方米；水污染物排放量--吨／年；大气污染物排放量--吨／年。</w:t>
      </w:r>
    </w:p>
    <w:p>
      <w:pPr>
        <w:ind w:firstLine="0" w:firstLineChars="0"/>
        <w:rPr>
          <w:highlight w:val="darkYellow"/>
        </w:rPr>
        <w:sectPr>
          <w:pgSz w:w="16838" w:h="11905" w:orient="landscape"/>
          <w:pgMar w:top="1247" w:right="1247" w:bottom="1247" w:left="1247" w:header="709" w:footer="680" w:gutter="0"/>
          <w:cols w:space="0" w:num="1"/>
          <w:docGrid w:type="lines" w:linePitch="336" w:charSpace="0"/>
        </w:sectPr>
      </w:pPr>
    </w:p>
    <w:p>
      <w:pPr>
        <w:pStyle w:val="4"/>
      </w:pPr>
      <w:bookmarkStart w:id="1240" w:name="_Toc8763"/>
      <w:bookmarkStart w:id="1241" w:name="_Toc12541"/>
      <w:bookmarkStart w:id="1242" w:name="_Toc3801"/>
      <w:bookmarkStart w:id="1243" w:name="_Toc26590_WPSOffice_Level1"/>
      <w:bookmarkStart w:id="1244" w:name="_Toc22683"/>
      <w:bookmarkStart w:id="1245" w:name="_Toc8981_WPSOffice_Level1"/>
      <w:bookmarkStart w:id="1246" w:name="_Toc806"/>
      <w:bookmarkStart w:id="1247" w:name="_Toc6484_WPSOffice_Level1"/>
      <w:bookmarkStart w:id="1248" w:name="_Toc3500_WPSOffice_Level1"/>
      <w:bookmarkStart w:id="1249" w:name="_Toc11869"/>
      <w:bookmarkStart w:id="1250" w:name="_Toc28331"/>
      <w:bookmarkStart w:id="1251" w:name="_Toc28145"/>
      <w:bookmarkStart w:id="1252" w:name="_Toc10124"/>
      <w:bookmarkStart w:id="1253" w:name="_Toc11780"/>
      <w:r>
        <w:t>附件1 营业执照</w:t>
      </w:r>
      <w:bookmarkEnd w:id="1240"/>
    </w:p>
    <w:p>
      <w:pPr>
        <w:ind w:firstLine="480"/>
      </w:pPr>
      <w:r>
        <w:rPr>
          <w:rFonts w:hint="eastAsia"/>
        </w:rPr>
        <w:drawing>
          <wp:inline distT="0" distB="0" distL="114300" distR="114300">
            <wp:extent cx="7471410" cy="5217795"/>
            <wp:effectExtent l="0" t="0" r="0" b="0"/>
            <wp:docPr id="101" name="图片 2" descr="微信图片_2022041313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descr="微信图片_20220413133719"/>
                    <pic:cNvPicPr>
                      <a:picLocks noChangeAspect="1"/>
                    </pic:cNvPicPr>
                  </pic:nvPicPr>
                  <pic:blipFill>
                    <a:blip r:embed="rId36"/>
                    <a:srcRect t="1734" r="2186"/>
                    <a:stretch>
                      <a:fillRect/>
                    </a:stretch>
                  </pic:blipFill>
                  <pic:spPr>
                    <a:xfrm>
                      <a:off x="0" y="0"/>
                      <a:ext cx="7471410" cy="5217795"/>
                    </a:xfrm>
                    <a:prstGeom prst="rect">
                      <a:avLst/>
                    </a:prstGeom>
                    <a:noFill/>
                    <a:ln>
                      <a:noFill/>
                    </a:ln>
                  </pic:spPr>
                </pic:pic>
              </a:graphicData>
            </a:graphic>
          </wp:inline>
        </w:drawing>
      </w:r>
    </w:p>
    <w:p>
      <w:pPr>
        <w:ind w:firstLine="0" w:firstLineChars="0"/>
        <w:rPr>
          <w:highlight w:val="red"/>
        </w:rPr>
        <w:sectPr>
          <w:footerReference r:id="rId11" w:type="default"/>
          <w:pgSz w:w="16838" w:h="11905" w:orient="landscape"/>
          <w:pgMar w:top="1247" w:right="1247" w:bottom="1247" w:left="1247" w:header="709" w:footer="680" w:gutter="0"/>
          <w:cols w:space="0" w:num="1"/>
          <w:docGrid w:type="lines" w:linePitch="336" w:charSpace="0"/>
        </w:sectPr>
      </w:pPr>
    </w:p>
    <w:p>
      <w:pPr>
        <w:pStyle w:val="4"/>
      </w:pPr>
      <w:bookmarkStart w:id="1254" w:name="_Toc15518"/>
      <w:r>
        <w:t>附件2 环评批复</w:t>
      </w:r>
      <w:bookmarkEnd w:id="1241"/>
      <w:bookmarkEnd w:id="1242"/>
      <w:bookmarkEnd w:id="1243"/>
      <w:bookmarkEnd w:id="1244"/>
      <w:bookmarkEnd w:id="1245"/>
      <w:bookmarkEnd w:id="1246"/>
      <w:bookmarkEnd w:id="1247"/>
      <w:bookmarkEnd w:id="1248"/>
      <w:bookmarkEnd w:id="1249"/>
      <w:bookmarkEnd w:id="1254"/>
      <w:bookmarkStart w:id="1255" w:name="_Toc9956"/>
      <w:bookmarkStart w:id="1256" w:name="_Toc17057"/>
    </w:p>
    <w:p>
      <w:pPr>
        <w:ind w:firstLine="480"/>
      </w:pPr>
      <w:bookmarkStart w:id="1257" w:name="_Toc29555"/>
      <w:r>
        <w:rPr>
          <w:rFonts w:hint="eastAsia"/>
        </w:rPr>
        <w:drawing>
          <wp:inline distT="0" distB="0" distL="114300" distR="114300">
            <wp:extent cx="5784850" cy="8129270"/>
            <wp:effectExtent l="0" t="0" r="0" b="0"/>
            <wp:docPr id="102" name="图片 102" descr="扫描全能王 2024-01-12 10.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扫描全能王 2024-01-12 10.18_1"/>
                    <pic:cNvPicPr>
                      <a:picLocks noChangeAspect="1"/>
                    </pic:cNvPicPr>
                  </pic:nvPicPr>
                  <pic:blipFill>
                    <a:blip r:embed="rId37"/>
                    <a:srcRect l="1557" t="1239" r="1301" b="1459"/>
                    <a:stretch>
                      <a:fillRect/>
                    </a:stretch>
                  </pic:blipFill>
                  <pic:spPr>
                    <a:xfrm>
                      <a:off x="0" y="0"/>
                      <a:ext cx="5784850" cy="8129270"/>
                    </a:xfrm>
                    <a:prstGeom prst="rect">
                      <a:avLst/>
                    </a:prstGeom>
                  </pic:spPr>
                </pic:pic>
              </a:graphicData>
            </a:graphic>
          </wp:inline>
        </w:drawing>
      </w:r>
    </w:p>
    <w:p>
      <w:pPr>
        <w:ind w:firstLine="480"/>
      </w:pPr>
    </w:p>
    <w:p>
      <w:pPr>
        <w:pStyle w:val="33"/>
        <w:ind w:firstLine="480"/>
      </w:pPr>
    </w:p>
    <w:p>
      <w:pPr>
        <w:ind w:firstLine="0" w:firstLineChars="0"/>
      </w:pPr>
      <w:r>
        <w:drawing>
          <wp:inline distT="0" distB="0" distL="114300" distR="114300">
            <wp:extent cx="5634355" cy="7924800"/>
            <wp:effectExtent l="0" t="0" r="0" b="0"/>
            <wp:docPr id="103" name="图片 103" descr="扫描全能王 2024-01-12 10.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扫描全能王 2024-01-12 10.18_3"/>
                    <pic:cNvPicPr>
                      <a:picLocks noChangeAspect="1"/>
                    </pic:cNvPicPr>
                  </pic:nvPicPr>
                  <pic:blipFill>
                    <a:blip r:embed="rId38"/>
                    <a:srcRect r="5324"/>
                    <a:stretch>
                      <a:fillRect/>
                    </a:stretch>
                  </pic:blipFill>
                  <pic:spPr>
                    <a:xfrm>
                      <a:off x="0" y="0"/>
                      <a:ext cx="5634355" cy="7924800"/>
                    </a:xfrm>
                    <a:prstGeom prst="rect">
                      <a:avLst/>
                    </a:prstGeom>
                  </pic:spPr>
                </pic:pic>
              </a:graphicData>
            </a:graphic>
          </wp:inline>
        </w:drawing>
      </w:r>
    </w:p>
    <w:p>
      <w:pPr>
        <w:pStyle w:val="33"/>
        <w:ind w:firstLine="480"/>
      </w:pPr>
    </w:p>
    <w:p>
      <w:pPr>
        <w:ind w:firstLine="480"/>
      </w:pPr>
      <w:r>
        <w:rPr>
          <w:rFonts w:hint="eastAsia"/>
        </w:rPr>
        <w:drawing>
          <wp:inline distT="0" distB="0" distL="114300" distR="114300">
            <wp:extent cx="5948045" cy="7931150"/>
            <wp:effectExtent l="0" t="0" r="14605" b="12700"/>
            <wp:docPr id="104" name="图片 104" descr="扫描全能王 2024-01-12 10.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扫描全能王 2024-01-12 10.18_4"/>
                    <pic:cNvPicPr>
                      <a:picLocks noChangeAspect="1"/>
                    </pic:cNvPicPr>
                  </pic:nvPicPr>
                  <pic:blipFill>
                    <a:blip r:embed="rId39"/>
                    <a:stretch>
                      <a:fillRect/>
                    </a:stretch>
                  </pic:blipFill>
                  <pic:spPr>
                    <a:xfrm>
                      <a:off x="0" y="0"/>
                      <a:ext cx="5948045" cy="7931150"/>
                    </a:xfrm>
                    <a:prstGeom prst="rect">
                      <a:avLst/>
                    </a:prstGeom>
                  </pic:spPr>
                </pic:pic>
              </a:graphicData>
            </a:graphic>
          </wp:inline>
        </w:drawing>
      </w:r>
    </w:p>
    <w:p>
      <w:pPr>
        <w:pStyle w:val="33"/>
        <w:ind w:firstLine="480"/>
      </w:pPr>
    </w:p>
    <w:p>
      <w:pPr>
        <w:ind w:firstLine="0" w:firstLineChars="0"/>
      </w:pPr>
      <w:r>
        <w:rPr>
          <w:rFonts w:hint="eastAsia"/>
        </w:rPr>
        <w:drawing>
          <wp:inline distT="0" distB="0" distL="114300" distR="114300">
            <wp:extent cx="5761355" cy="8308975"/>
            <wp:effectExtent l="0" t="0" r="0" b="0"/>
            <wp:docPr id="105" name="图片 105" descr="扫描全能王 2024-01-12 10.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扫描全能王 2024-01-12 10.18_5"/>
                    <pic:cNvPicPr>
                      <a:picLocks noChangeAspect="1"/>
                    </pic:cNvPicPr>
                  </pic:nvPicPr>
                  <pic:blipFill>
                    <a:blip r:embed="rId40"/>
                    <a:srcRect r="3211"/>
                    <a:stretch>
                      <a:fillRect/>
                    </a:stretch>
                  </pic:blipFill>
                  <pic:spPr>
                    <a:xfrm>
                      <a:off x="0" y="0"/>
                      <a:ext cx="5761355" cy="8308975"/>
                    </a:xfrm>
                    <a:prstGeom prst="rect">
                      <a:avLst/>
                    </a:prstGeom>
                  </pic:spPr>
                </pic:pic>
              </a:graphicData>
            </a:graphic>
          </wp:inline>
        </w:drawing>
      </w:r>
    </w:p>
    <w:p>
      <w:pPr>
        <w:pStyle w:val="33"/>
        <w:ind w:firstLine="480"/>
      </w:pPr>
    </w:p>
    <w:p>
      <w:pPr>
        <w:ind w:firstLine="0" w:firstLineChars="0"/>
        <w:sectPr>
          <w:pgSz w:w="11905" w:h="16838"/>
          <w:pgMar w:top="1247" w:right="1247" w:bottom="1247" w:left="1247" w:header="709" w:footer="680" w:gutter="0"/>
          <w:cols w:space="0" w:num="1"/>
          <w:docGrid w:type="lines" w:linePitch="336" w:charSpace="0"/>
        </w:sectPr>
      </w:pPr>
      <w:r>
        <w:rPr>
          <w:rFonts w:hint="eastAsia"/>
        </w:rPr>
        <w:drawing>
          <wp:inline distT="0" distB="0" distL="114300" distR="114300">
            <wp:extent cx="5950585" cy="8794750"/>
            <wp:effectExtent l="0" t="0" r="12065" b="6350"/>
            <wp:docPr id="106" name="图片 106" descr="扫描全能王 2024-01-12 10.1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扫描全能王 2024-01-12 10.18_6"/>
                    <pic:cNvPicPr>
                      <a:picLocks noChangeAspect="1"/>
                    </pic:cNvPicPr>
                  </pic:nvPicPr>
                  <pic:blipFill>
                    <a:blip r:embed="rId41"/>
                    <a:stretch>
                      <a:fillRect/>
                    </a:stretch>
                  </pic:blipFill>
                  <pic:spPr>
                    <a:xfrm>
                      <a:off x="0" y="0"/>
                      <a:ext cx="5950585" cy="8794750"/>
                    </a:xfrm>
                    <a:prstGeom prst="rect">
                      <a:avLst/>
                    </a:prstGeom>
                  </pic:spPr>
                </pic:pic>
              </a:graphicData>
            </a:graphic>
          </wp:inline>
        </w:drawing>
      </w:r>
    </w:p>
    <w:bookmarkEnd w:id="1250"/>
    <w:bookmarkEnd w:id="1251"/>
    <w:bookmarkEnd w:id="1252"/>
    <w:bookmarkEnd w:id="1253"/>
    <w:bookmarkEnd w:id="1255"/>
    <w:bookmarkEnd w:id="1256"/>
    <w:bookmarkEnd w:id="1257"/>
    <w:p>
      <w:pPr>
        <w:pStyle w:val="4"/>
      </w:pPr>
      <w:bookmarkStart w:id="1258" w:name="_Toc13826"/>
      <w:bookmarkStart w:id="1259" w:name="_Toc24783"/>
      <w:bookmarkStart w:id="1260" w:name="_Toc26922"/>
      <w:bookmarkStart w:id="1261" w:name="_Toc18292"/>
      <w:bookmarkStart w:id="1262" w:name="_Toc20802"/>
      <w:bookmarkStart w:id="1263" w:name="_Toc31585"/>
      <w:bookmarkStart w:id="1264" w:name="_Toc26780"/>
      <w:r>
        <w:t>附件</w:t>
      </w:r>
      <w:r>
        <w:rPr>
          <w:rFonts w:hint="eastAsia"/>
        </w:rPr>
        <w:t>3</w:t>
      </w:r>
      <w:r>
        <w:t xml:space="preserve"> 危废处置协议</w:t>
      </w:r>
      <w:bookmarkEnd w:id="1258"/>
      <w:bookmarkEnd w:id="1259"/>
      <w:bookmarkEnd w:id="1260"/>
    </w:p>
    <w:p>
      <w:pPr>
        <w:ind w:firstLine="0" w:firstLineChars="0"/>
      </w:pPr>
      <w:r>
        <w:drawing>
          <wp:inline distT="0" distB="0" distL="114300" distR="114300">
            <wp:extent cx="5970905" cy="8448040"/>
            <wp:effectExtent l="0" t="0" r="10795" b="10160"/>
            <wp:docPr id="110" name="图片 110" descr="危废处置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危废处置协议_00"/>
                    <pic:cNvPicPr>
                      <a:picLocks noChangeAspect="1"/>
                    </pic:cNvPicPr>
                  </pic:nvPicPr>
                  <pic:blipFill>
                    <a:blip r:embed="rId42"/>
                    <a:stretch>
                      <a:fillRect/>
                    </a:stretch>
                  </pic:blipFill>
                  <pic:spPr>
                    <a:xfrm>
                      <a:off x="0" y="0"/>
                      <a:ext cx="5970905" cy="8448040"/>
                    </a:xfrm>
                    <a:prstGeom prst="rect">
                      <a:avLst/>
                    </a:prstGeom>
                  </pic:spPr>
                </pic:pic>
              </a:graphicData>
            </a:graphic>
          </wp:inline>
        </w:drawing>
      </w:r>
    </w:p>
    <w:p>
      <w:pPr>
        <w:pStyle w:val="33"/>
        <w:ind w:firstLine="0" w:firstLineChars="0"/>
      </w:pPr>
      <w:r>
        <w:drawing>
          <wp:inline distT="0" distB="0" distL="114300" distR="114300">
            <wp:extent cx="5970905" cy="8448040"/>
            <wp:effectExtent l="0" t="0" r="10795" b="10160"/>
            <wp:docPr id="109" name="图片 109" descr="危废处置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危废处置协议_01"/>
                    <pic:cNvPicPr>
                      <a:picLocks noChangeAspect="1"/>
                    </pic:cNvPicPr>
                  </pic:nvPicPr>
                  <pic:blipFill>
                    <a:blip r:embed="rId43"/>
                    <a:stretch>
                      <a:fillRect/>
                    </a:stretch>
                  </pic:blipFill>
                  <pic:spPr>
                    <a:xfrm>
                      <a:off x="0" y="0"/>
                      <a:ext cx="5970905" cy="8448040"/>
                    </a:xfrm>
                    <a:prstGeom prst="rect">
                      <a:avLst/>
                    </a:prstGeom>
                  </pic:spPr>
                </pic:pic>
              </a:graphicData>
            </a:graphic>
          </wp:inline>
        </w:drawing>
      </w:r>
    </w:p>
    <w:p>
      <w:pPr>
        <w:ind w:firstLine="0" w:firstLineChars="0"/>
      </w:pPr>
      <w:r>
        <w:drawing>
          <wp:inline distT="0" distB="0" distL="114300" distR="114300">
            <wp:extent cx="5970905" cy="8448040"/>
            <wp:effectExtent l="0" t="0" r="10795" b="10160"/>
            <wp:docPr id="108" name="图片 108" descr="危废处置协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危废处置协议_02"/>
                    <pic:cNvPicPr>
                      <a:picLocks noChangeAspect="1"/>
                    </pic:cNvPicPr>
                  </pic:nvPicPr>
                  <pic:blipFill>
                    <a:blip r:embed="rId44"/>
                    <a:stretch>
                      <a:fillRect/>
                    </a:stretch>
                  </pic:blipFill>
                  <pic:spPr>
                    <a:xfrm>
                      <a:off x="0" y="0"/>
                      <a:ext cx="5970905" cy="8448040"/>
                    </a:xfrm>
                    <a:prstGeom prst="rect">
                      <a:avLst/>
                    </a:prstGeom>
                  </pic:spPr>
                </pic:pic>
              </a:graphicData>
            </a:graphic>
          </wp:inline>
        </w:drawing>
      </w:r>
    </w:p>
    <w:p>
      <w:pPr>
        <w:ind w:firstLine="0" w:firstLineChars="0"/>
      </w:pPr>
      <w:r>
        <w:drawing>
          <wp:inline distT="0" distB="0" distL="114300" distR="114300">
            <wp:extent cx="5970905" cy="8448040"/>
            <wp:effectExtent l="0" t="0" r="10795" b="10160"/>
            <wp:docPr id="107" name="图片 107" descr="危废处置协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危废处置协议_03"/>
                    <pic:cNvPicPr>
                      <a:picLocks noChangeAspect="1"/>
                    </pic:cNvPicPr>
                  </pic:nvPicPr>
                  <pic:blipFill>
                    <a:blip r:embed="rId45"/>
                    <a:stretch>
                      <a:fillRect/>
                    </a:stretch>
                  </pic:blipFill>
                  <pic:spPr>
                    <a:xfrm>
                      <a:off x="0" y="0"/>
                      <a:ext cx="5970905" cy="8448040"/>
                    </a:xfrm>
                    <a:prstGeom prst="rect">
                      <a:avLst/>
                    </a:prstGeom>
                  </pic:spPr>
                </pic:pic>
              </a:graphicData>
            </a:graphic>
          </wp:inline>
        </w:drawing>
      </w:r>
      <w:bookmarkEnd w:id="1261"/>
      <w:bookmarkEnd w:id="1262"/>
      <w:bookmarkEnd w:id="1263"/>
      <w:bookmarkEnd w:id="1264"/>
      <w:bookmarkStart w:id="1265" w:name="_Toc13914"/>
      <w:bookmarkStart w:id="1266" w:name="_Toc21967_WPSOffice_Level1"/>
      <w:bookmarkStart w:id="1267" w:name="_Toc16444"/>
      <w:bookmarkStart w:id="1268" w:name="_Toc17208_WPSOffice_Level1"/>
      <w:bookmarkStart w:id="1269" w:name="_Toc3063"/>
      <w:bookmarkStart w:id="1270" w:name="_Toc27764_WPSOffice_Level1"/>
      <w:bookmarkStart w:id="1271" w:name="_Toc18890_WPSOffice_Level1"/>
      <w:bookmarkStart w:id="1272" w:name="_Toc4823"/>
      <w:bookmarkStart w:id="1273" w:name="_Toc20693"/>
    </w:p>
    <w:p>
      <w:pPr>
        <w:pStyle w:val="4"/>
      </w:pPr>
      <w:bookmarkStart w:id="1274" w:name="_Toc15905"/>
      <w:r>
        <w:t>附件</w:t>
      </w:r>
      <w:r>
        <w:rPr>
          <w:rFonts w:hint="eastAsia"/>
        </w:rPr>
        <w:t>4</w:t>
      </w:r>
      <w:r>
        <w:t xml:space="preserve"> </w:t>
      </w:r>
      <w:bookmarkEnd w:id="1265"/>
      <w:bookmarkEnd w:id="1266"/>
      <w:bookmarkEnd w:id="1267"/>
      <w:bookmarkEnd w:id="1268"/>
      <w:bookmarkEnd w:id="1269"/>
      <w:bookmarkEnd w:id="1270"/>
      <w:bookmarkEnd w:id="1271"/>
      <w:bookmarkEnd w:id="1272"/>
      <w:r>
        <w:t>工况证明文件</w:t>
      </w:r>
      <w:bookmarkEnd w:id="1273"/>
      <w:bookmarkEnd w:id="1274"/>
    </w:p>
    <w:p>
      <w:pPr>
        <w:pStyle w:val="33"/>
        <w:ind w:firstLine="0" w:firstLineChars="0"/>
        <w:rPr>
          <w:highlight w:val="red"/>
        </w:rPr>
      </w:pPr>
      <w:bookmarkStart w:id="1275" w:name="_Toc5759"/>
      <w:bookmarkStart w:id="1276" w:name="_Toc5527"/>
      <w:r>
        <w:drawing>
          <wp:inline distT="0" distB="0" distL="114300" distR="114300">
            <wp:extent cx="5723255" cy="513715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6"/>
                    <a:srcRect l="4117"/>
                    <a:stretch>
                      <a:fillRect/>
                    </a:stretch>
                  </pic:blipFill>
                  <pic:spPr>
                    <a:xfrm>
                      <a:off x="0" y="0"/>
                      <a:ext cx="5723255" cy="5137150"/>
                    </a:xfrm>
                    <a:prstGeom prst="rect">
                      <a:avLst/>
                    </a:prstGeom>
                    <a:noFill/>
                    <a:ln>
                      <a:noFill/>
                    </a:ln>
                  </pic:spPr>
                </pic:pic>
              </a:graphicData>
            </a:graphic>
          </wp:inline>
        </w:drawing>
      </w:r>
    </w:p>
    <w:p>
      <w:pPr>
        <w:ind w:firstLine="480"/>
        <w:rPr>
          <w:highlight w:val="red"/>
        </w:rPr>
      </w:pPr>
    </w:p>
    <w:p>
      <w:pPr>
        <w:pStyle w:val="33"/>
        <w:ind w:firstLine="480"/>
      </w:pPr>
    </w:p>
    <w:p>
      <w:pPr>
        <w:pStyle w:val="4"/>
      </w:pPr>
      <w:r>
        <w:rPr>
          <w:rFonts w:hint="eastAsia"/>
        </w:rPr>
        <w:t xml:space="preserve">                                       </w:t>
      </w:r>
    </w:p>
    <w:p>
      <w:pPr>
        <w:ind w:firstLine="480"/>
      </w:pPr>
      <w:r>
        <w:rPr>
          <w:rFonts w:hint="eastAsia"/>
        </w:rPr>
        <w:br w:type="page"/>
      </w:r>
    </w:p>
    <w:p>
      <w:pPr>
        <w:pStyle w:val="4"/>
      </w:pPr>
      <w:bookmarkStart w:id="1277" w:name="_Toc7334"/>
      <w:r>
        <w:t>附件</w:t>
      </w:r>
      <w:r>
        <w:rPr>
          <w:rFonts w:hint="eastAsia"/>
        </w:rPr>
        <w:t>5</w:t>
      </w:r>
      <w:r>
        <w:t xml:space="preserve"> 突发环境事件应急预案备案表</w:t>
      </w:r>
      <w:bookmarkEnd w:id="1275"/>
      <w:bookmarkEnd w:id="1276"/>
      <w:bookmarkEnd w:id="1277"/>
    </w:p>
    <w:p>
      <w:pPr>
        <w:ind w:firstLine="0" w:firstLineChars="0"/>
        <w:rPr>
          <w:highlight w:val="red"/>
        </w:rPr>
      </w:pPr>
      <w:bookmarkStart w:id="1278" w:name="_Toc10309"/>
      <w:bookmarkStart w:id="1279" w:name="_Toc28321"/>
      <w:bookmarkStart w:id="1280" w:name="_Toc7949"/>
      <w:bookmarkStart w:id="1281" w:name="_Toc6254"/>
      <w:bookmarkStart w:id="1282" w:name="_Toc11783_WPSOffice_Level1"/>
      <w:bookmarkStart w:id="1283" w:name="_Toc13731_WPSOffice_Level1"/>
      <w:bookmarkStart w:id="1284" w:name="_Toc6777_WPSOffice_Level1"/>
      <w:bookmarkStart w:id="1285" w:name="_Toc10494_WPSOffice_Level1"/>
      <w:bookmarkStart w:id="1286" w:name="_Toc32516"/>
    </w:p>
    <w:p>
      <w:pPr>
        <w:pStyle w:val="33"/>
        <w:ind w:firstLine="480"/>
        <w:sectPr>
          <w:pgSz w:w="11905" w:h="16838"/>
          <w:pgMar w:top="1247" w:right="1247" w:bottom="1247" w:left="1247" w:header="709" w:footer="680" w:gutter="0"/>
          <w:cols w:space="0" w:num="1"/>
          <w:docGrid w:type="lines" w:linePitch="336" w:charSpace="0"/>
        </w:sectPr>
      </w:pPr>
      <w:r>
        <w:drawing>
          <wp:inline distT="0" distB="0" distL="114300" distR="114300">
            <wp:extent cx="5457825" cy="7496175"/>
            <wp:effectExtent l="0" t="0" r="9525" b="9525"/>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7"/>
                    <a:stretch>
                      <a:fillRect/>
                    </a:stretch>
                  </pic:blipFill>
                  <pic:spPr>
                    <a:xfrm>
                      <a:off x="0" y="0"/>
                      <a:ext cx="5457825" cy="7496175"/>
                    </a:xfrm>
                    <a:prstGeom prst="rect">
                      <a:avLst/>
                    </a:prstGeom>
                    <a:noFill/>
                    <a:ln>
                      <a:noFill/>
                    </a:ln>
                  </pic:spPr>
                </pic:pic>
              </a:graphicData>
            </a:graphic>
          </wp:inline>
        </w:drawing>
      </w:r>
    </w:p>
    <w:p>
      <w:pPr>
        <w:pStyle w:val="4"/>
      </w:pPr>
      <w:bookmarkStart w:id="1287" w:name="_Toc24857"/>
      <w:r>
        <w:t>附件</w:t>
      </w:r>
      <w:r>
        <w:rPr>
          <w:rFonts w:hint="eastAsia"/>
        </w:rPr>
        <w:t>6</w:t>
      </w:r>
      <w:r>
        <w:t xml:space="preserve"> 排污许可证</w:t>
      </w:r>
      <w:bookmarkEnd w:id="1278"/>
      <w:bookmarkEnd w:id="1279"/>
      <w:bookmarkEnd w:id="1287"/>
    </w:p>
    <w:p>
      <w:pPr>
        <w:ind w:firstLine="0" w:firstLineChars="0"/>
        <w:jc w:val="center"/>
        <w:rPr>
          <w:color w:val="FF0000"/>
          <w:highlight w:val="red"/>
        </w:rPr>
      </w:pPr>
      <w:r>
        <w:drawing>
          <wp:inline distT="0" distB="0" distL="114300" distR="114300">
            <wp:extent cx="6374130" cy="7553325"/>
            <wp:effectExtent l="0" t="0" r="7620" b="9525"/>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48"/>
                    <a:stretch>
                      <a:fillRect/>
                    </a:stretch>
                  </pic:blipFill>
                  <pic:spPr>
                    <a:xfrm>
                      <a:off x="0" y="0"/>
                      <a:ext cx="6374130" cy="7553325"/>
                    </a:xfrm>
                    <a:prstGeom prst="rect">
                      <a:avLst/>
                    </a:prstGeom>
                    <a:noFill/>
                    <a:ln>
                      <a:noFill/>
                    </a:ln>
                  </pic:spPr>
                </pic:pic>
              </a:graphicData>
            </a:graphic>
          </wp:inline>
        </w:drawing>
      </w:r>
    </w:p>
    <w:bookmarkEnd w:id="1280"/>
    <w:bookmarkEnd w:id="1281"/>
    <w:bookmarkEnd w:id="1282"/>
    <w:bookmarkEnd w:id="1283"/>
    <w:bookmarkEnd w:id="1284"/>
    <w:bookmarkEnd w:id="1285"/>
    <w:bookmarkEnd w:id="1286"/>
    <w:p>
      <w:pPr>
        <w:ind w:firstLine="480"/>
        <w:jc w:val="center"/>
        <w:rPr>
          <w:highlight w:val="red"/>
        </w:rPr>
        <w:sectPr>
          <w:pgSz w:w="11905" w:h="16838"/>
          <w:pgMar w:top="1247" w:right="1247" w:bottom="1247" w:left="1247" w:header="709" w:footer="680" w:gutter="0"/>
          <w:cols w:space="0" w:num="1"/>
          <w:docGrid w:type="lines" w:linePitch="336" w:charSpace="0"/>
        </w:sectPr>
      </w:pPr>
      <w:bookmarkStart w:id="1288" w:name="_Toc13639"/>
      <w:bookmarkStart w:id="1289" w:name="_Toc14658"/>
      <w:bookmarkStart w:id="1290" w:name="_Toc11248"/>
      <w:bookmarkStart w:id="1291" w:name="_Toc32214_WPSOffice_Level1"/>
      <w:bookmarkStart w:id="1292" w:name="_Toc9505_WPSOffice_Level1"/>
      <w:bookmarkStart w:id="1293" w:name="_Toc12249"/>
      <w:bookmarkStart w:id="1294" w:name="_Toc893_WPSOffice_Level1"/>
      <w:bookmarkStart w:id="1295" w:name="_Toc19658_WPSOffice_Level1"/>
      <w:bookmarkStart w:id="1296" w:name="_Toc29618"/>
      <w:bookmarkStart w:id="1297" w:name="_Toc21942_WPSOffice_Level1"/>
      <w:bookmarkStart w:id="1298" w:name="_Toc5027"/>
      <w:bookmarkStart w:id="1299" w:name="_Toc15747"/>
      <w:bookmarkStart w:id="1300" w:name="_Toc604"/>
    </w:p>
    <w:p>
      <w:pPr>
        <w:pStyle w:val="4"/>
      </w:pPr>
      <w:bookmarkStart w:id="1301" w:name="_Toc26987"/>
      <w:r>
        <w:t>附件</w:t>
      </w:r>
      <w:r>
        <w:rPr>
          <w:rFonts w:hint="eastAsia"/>
        </w:rPr>
        <w:t>7</w:t>
      </w:r>
      <w:r>
        <w:t xml:space="preserve"> 总量确认书</w:t>
      </w:r>
      <w:bookmarkEnd w:id="1288"/>
      <w:bookmarkEnd w:id="1289"/>
      <w:bookmarkEnd w:id="1290"/>
      <w:bookmarkEnd w:id="1291"/>
      <w:bookmarkEnd w:id="1292"/>
      <w:bookmarkEnd w:id="1293"/>
      <w:bookmarkEnd w:id="1294"/>
      <w:bookmarkEnd w:id="1295"/>
      <w:bookmarkEnd w:id="1296"/>
      <w:bookmarkEnd w:id="1301"/>
    </w:p>
    <w:p>
      <w:pPr>
        <w:ind w:firstLine="480"/>
      </w:pPr>
      <w:r>
        <w:drawing>
          <wp:inline distT="0" distB="0" distL="114300" distR="114300">
            <wp:extent cx="5970905" cy="8448040"/>
            <wp:effectExtent l="0" t="0" r="10795" b="10160"/>
            <wp:docPr id="11" name="图片 11" descr="口袋扫描仪 2024-01-23 上午 11.39.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口袋扫描仪 2024-01-23 上午 11.39.14_00"/>
                    <pic:cNvPicPr>
                      <a:picLocks noChangeAspect="1"/>
                    </pic:cNvPicPr>
                  </pic:nvPicPr>
                  <pic:blipFill>
                    <a:blip r:embed="rId49"/>
                    <a:stretch>
                      <a:fillRect/>
                    </a:stretch>
                  </pic:blipFill>
                  <pic:spPr>
                    <a:xfrm>
                      <a:off x="0" y="0"/>
                      <a:ext cx="5970905" cy="8448040"/>
                    </a:xfrm>
                    <a:prstGeom prst="rect">
                      <a:avLst/>
                    </a:prstGeom>
                  </pic:spPr>
                </pic:pic>
              </a:graphicData>
            </a:graphic>
          </wp:inline>
        </w:drawing>
      </w:r>
      <w:r>
        <w:drawing>
          <wp:inline distT="0" distB="0" distL="114300" distR="114300">
            <wp:extent cx="5970905" cy="8448040"/>
            <wp:effectExtent l="0" t="0" r="10795" b="10160"/>
            <wp:docPr id="10" name="图片 10" descr="口袋扫描仪 2024-01-23 上午 11.39.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口袋扫描仪 2024-01-23 上午 11.39.14_01"/>
                    <pic:cNvPicPr>
                      <a:picLocks noChangeAspect="1"/>
                    </pic:cNvPicPr>
                  </pic:nvPicPr>
                  <pic:blipFill>
                    <a:blip r:embed="rId50"/>
                    <a:stretch>
                      <a:fillRect/>
                    </a:stretch>
                  </pic:blipFill>
                  <pic:spPr>
                    <a:xfrm>
                      <a:off x="0" y="0"/>
                      <a:ext cx="5970905" cy="8448040"/>
                    </a:xfrm>
                    <a:prstGeom prst="rect">
                      <a:avLst/>
                    </a:prstGeom>
                  </pic:spPr>
                </pic:pic>
              </a:graphicData>
            </a:graphic>
          </wp:inline>
        </w:drawing>
      </w:r>
    </w:p>
    <w:p>
      <w:pPr>
        <w:ind w:firstLine="0" w:firstLineChars="0"/>
      </w:pPr>
    </w:p>
    <w:p>
      <w:pPr>
        <w:ind w:firstLine="0" w:firstLineChars="0"/>
        <w:rPr>
          <w:highlight w:val="red"/>
        </w:rPr>
      </w:pPr>
      <w:r>
        <w:drawing>
          <wp:inline distT="0" distB="0" distL="114300" distR="114300">
            <wp:extent cx="5970905" cy="8448040"/>
            <wp:effectExtent l="0" t="0" r="10795" b="10160"/>
            <wp:docPr id="9" name="图片 9" descr="口袋扫描仪 2024-01-23 上午 11.39.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口袋扫描仪 2024-01-23 上午 11.39.14_02"/>
                    <pic:cNvPicPr>
                      <a:picLocks noChangeAspect="1"/>
                    </pic:cNvPicPr>
                  </pic:nvPicPr>
                  <pic:blipFill>
                    <a:blip r:embed="rId51"/>
                    <a:stretch>
                      <a:fillRect/>
                    </a:stretch>
                  </pic:blipFill>
                  <pic:spPr>
                    <a:xfrm>
                      <a:off x="0" y="0"/>
                      <a:ext cx="5970905" cy="8448040"/>
                    </a:xfrm>
                    <a:prstGeom prst="rect">
                      <a:avLst/>
                    </a:prstGeom>
                  </pic:spPr>
                </pic:pic>
              </a:graphicData>
            </a:graphic>
          </wp:inline>
        </w:drawing>
      </w:r>
      <w:r>
        <w:drawing>
          <wp:inline distT="0" distB="0" distL="114300" distR="114300">
            <wp:extent cx="5970905" cy="8448040"/>
            <wp:effectExtent l="0" t="0" r="10795" b="10160"/>
            <wp:docPr id="8" name="图片 8" descr="口袋扫描仪 2024-01-23 上午 11.39.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口袋扫描仪 2024-01-23 上午 11.39.14_03"/>
                    <pic:cNvPicPr>
                      <a:picLocks noChangeAspect="1"/>
                    </pic:cNvPicPr>
                  </pic:nvPicPr>
                  <pic:blipFill>
                    <a:blip r:embed="rId52"/>
                    <a:stretch>
                      <a:fillRect/>
                    </a:stretch>
                  </pic:blipFill>
                  <pic:spPr>
                    <a:xfrm>
                      <a:off x="0" y="0"/>
                      <a:ext cx="5970905" cy="8448040"/>
                    </a:xfrm>
                    <a:prstGeom prst="rect">
                      <a:avLst/>
                    </a:prstGeom>
                  </pic:spPr>
                </pic:pic>
              </a:graphicData>
            </a:graphic>
          </wp:inline>
        </w:drawing>
      </w:r>
      <w:r>
        <w:drawing>
          <wp:inline distT="0" distB="0" distL="114300" distR="114300">
            <wp:extent cx="5970905" cy="8448040"/>
            <wp:effectExtent l="0" t="0" r="10795" b="10160"/>
            <wp:docPr id="7" name="图片 7" descr="口袋扫描仪 2024-01-23 上午 11.39.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口袋扫描仪 2024-01-23 上午 11.39.14_04"/>
                    <pic:cNvPicPr>
                      <a:picLocks noChangeAspect="1"/>
                    </pic:cNvPicPr>
                  </pic:nvPicPr>
                  <pic:blipFill>
                    <a:blip r:embed="rId53"/>
                    <a:stretch>
                      <a:fillRect/>
                    </a:stretch>
                  </pic:blipFill>
                  <pic:spPr>
                    <a:xfrm>
                      <a:off x="0" y="0"/>
                      <a:ext cx="5970905" cy="8448040"/>
                    </a:xfrm>
                    <a:prstGeom prst="rect">
                      <a:avLst/>
                    </a:prstGeom>
                  </pic:spPr>
                </pic:pic>
              </a:graphicData>
            </a:graphic>
          </wp:inline>
        </w:drawing>
      </w:r>
    </w:p>
    <w:p>
      <w:pPr>
        <w:ind w:firstLine="0" w:firstLineChars="0"/>
        <w:rPr>
          <w:highlight w:val="red"/>
        </w:rPr>
      </w:pPr>
      <w:r>
        <w:drawing>
          <wp:inline distT="0" distB="0" distL="114300" distR="114300">
            <wp:extent cx="5970905" cy="8448040"/>
            <wp:effectExtent l="0" t="0" r="10795" b="10160"/>
            <wp:docPr id="5" name="图片 5" descr="口袋扫描仪 2024-01-23 上午 11.39.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口袋扫描仪 2024-01-23 上午 11.39.14_05"/>
                    <pic:cNvPicPr>
                      <a:picLocks noChangeAspect="1"/>
                    </pic:cNvPicPr>
                  </pic:nvPicPr>
                  <pic:blipFill>
                    <a:blip r:embed="rId54"/>
                    <a:stretch>
                      <a:fillRect/>
                    </a:stretch>
                  </pic:blipFill>
                  <pic:spPr>
                    <a:xfrm>
                      <a:off x="0" y="0"/>
                      <a:ext cx="5970905" cy="8448040"/>
                    </a:xfrm>
                    <a:prstGeom prst="rect">
                      <a:avLst/>
                    </a:prstGeom>
                  </pic:spPr>
                </pic:pic>
              </a:graphicData>
            </a:graphic>
          </wp:inline>
        </w:drawing>
      </w:r>
    </w:p>
    <w:bookmarkEnd w:id="1297"/>
    <w:bookmarkEnd w:id="1298"/>
    <w:bookmarkEnd w:id="1299"/>
    <w:bookmarkEnd w:id="1300"/>
    <w:p>
      <w:pPr>
        <w:ind w:firstLine="480"/>
        <w:jc w:val="center"/>
        <w:rPr>
          <w:highlight w:val="red"/>
        </w:rPr>
      </w:pPr>
      <w:bookmarkStart w:id="1302" w:name="_Toc2717"/>
      <w:bookmarkStart w:id="1303" w:name="_Toc28631"/>
      <w:bookmarkStart w:id="1304" w:name="_Toc26444"/>
      <w:bookmarkStart w:id="1305" w:name="_Toc2153"/>
      <w:bookmarkStart w:id="1306" w:name="_Toc3702_WPSOffice_Level1"/>
      <w:bookmarkStart w:id="1307" w:name="_Toc4347"/>
    </w:p>
    <w:p>
      <w:pPr>
        <w:ind w:firstLine="480"/>
        <w:jc w:val="center"/>
        <w:rPr>
          <w:highlight w:val="red"/>
        </w:rPr>
        <w:sectPr>
          <w:pgSz w:w="11905" w:h="16838"/>
          <w:pgMar w:top="1247" w:right="1247" w:bottom="1247" w:left="1247" w:header="709" w:footer="680" w:gutter="0"/>
          <w:cols w:space="0" w:num="1"/>
          <w:docGrid w:type="lines" w:linePitch="336" w:charSpace="0"/>
        </w:sectPr>
      </w:pPr>
    </w:p>
    <w:p>
      <w:pPr>
        <w:pStyle w:val="4"/>
      </w:pPr>
      <w:bookmarkStart w:id="1308" w:name="_Toc11877"/>
      <w:r>
        <w:t>附件</w:t>
      </w:r>
      <w:r>
        <w:rPr>
          <w:rFonts w:hint="eastAsia"/>
        </w:rPr>
        <w:t>8</w:t>
      </w:r>
      <w:r>
        <w:t xml:space="preserve"> 验收检测方案</w:t>
      </w:r>
      <w:bookmarkEnd w:id="1302"/>
      <w:bookmarkEnd w:id="1303"/>
      <w:bookmarkEnd w:id="1308"/>
    </w:p>
    <w:p>
      <w:pPr>
        <w:ind w:firstLine="480"/>
      </w:pPr>
    </w:p>
    <w:p>
      <w:pPr>
        <w:ind w:firstLine="0" w:firstLineChars="0"/>
        <w:jc w:val="center"/>
      </w:pPr>
      <w:r>
        <w:drawing>
          <wp:inline distT="0" distB="0" distL="114300" distR="114300">
            <wp:extent cx="5334000" cy="7343775"/>
            <wp:effectExtent l="0" t="0" r="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5"/>
                    <a:stretch>
                      <a:fillRect/>
                    </a:stretch>
                  </pic:blipFill>
                  <pic:spPr>
                    <a:xfrm>
                      <a:off x="0" y="0"/>
                      <a:ext cx="5334000" cy="7343775"/>
                    </a:xfrm>
                    <a:prstGeom prst="rect">
                      <a:avLst/>
                    </a:prstGeom>
                    <a:noFill/>
                    <a:ln>
                      <a:noFill/>
                    </a:ln>
                  </pic:spPr>
                </pic:pic>
              </a:graphicData>
            </a:graphic>
          </wp:inline>
        </w:drawing>
      </w:r>
    </w:p>
    <w:p>
      <w:pPr>
        <w:pStyle w:val="33"/>
        <w:ind w:firstLine="480"/>
      </w:pPr>
    </w:p>
    <w:p>
      <w:pPr>
        <w:ind w:firstLine="480"/>
      </w:pPr>
    </w:p>
    <w:p>
      <w:pPr>
        <w:pStyle w:val="33"/>
        <w:ind w:firstLine="480"/>
      </w:pPr>
    </w:p>
    <w:p>
      <w:pPr>
        <w:ind w:firstLine="0" w:firstLineChars="0"/>
        <w:jc w:val="center"/>
      </w:pPr>
      <w:r>
        <w:drawing>
          <wp:inline distT="0" distB="0" distL="114300" distR="114300">
            <wp:extent cx="5076190" cy="7713345"/>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6"/>
                    <a:srcRect t="271" r="942"/>
                    <a:stretch>
                      <a:fillRect/>
                    </a:stretch>
                  </pic:blipFill>
                  <pic:spPr>
                    <a:xfrm>
                      <a:off x="0" y="0"/>
                      <a:ext cx="5076190" cy="7713345"/>
                    </a:xfrm>
                    <a:prstGeom prst="rect">
                      <a:avLst/>
                    </a:prstGeom>
                    <a:noFill/>
                    <a:ln>
                      <a:noFill/>
                    </a:ln>
                  </pic:spPr>
                </pic:pic>
              </a:graphicData>
            </a:graphic>
          </wp:inline>
        </w:drawing>
      </w:r>
    </w:p>
    <w:p>
      <w:pPr>
        <w:pStyle w:val="33"/>
        <w:ind w:firstLine="480"/>
      </w:pPr>
    </w:p>
    <w:p>
      <w:pPr>
        <w:ind w:firstLine="0" w:firstLineChars="0"/>
        <w:rPr>
          <w:highlight w:val="red"/>
        </w:rPr>
      </w:pPr>
    </w:p>
    <w:p>
      <w:pPr>
        <w:pStyle w:val="4"/>
        <w:rPr>
          <w:color w:val="FF0000"/>
          <w:highlight w:val="red"/>
        </w:rPr>
        <w:sectPr>
          <w:pgSz w:w="11905" w:h="16838"/>
          <w:pgMar w:top="1247" w:right="1247" w:bottom="1247" w:left="1247" w:header="709" w:footer="680" w:gutter="0"/>
          <w:cols w:space="0" w:num="1"/>
          <w:docGrid w:type="lines" w:linePitch="336" w:charSpace="0"/>
        </w:sectPr>
      </w:pPr>
      <w:bookmarkStart w:id="1309" w:name="_Toc6991"/>
      <w:bookmarkStart w:id="1310" w:name="_Toc31535"/>
    </w:p>
    <w:bookmarkEnd w:id="1304"/>
    <w:bookmarkEnd w:id="1305"/>
    <w:bookmarkEnd w:id="1306"/>
    <w:bookmarkEnd w:id="1307"/>
    <w:bookmarkEnd w:id="1309"/>
    <w:bookmarkEnd w:id="1310"/>
    <w:p>
      <w:pPr>
        <w:pStyle w:val="4"/>
        <w:bidi w:val="0"/>
      </w:pPr>
      <w:bookmarkStart w:id="1311" w:name="_Toc26842"/>
      <w:bookmarkStart w:id="1312" w:name="_Toc18986"/>
      <w:r>
        <w:t>附件</w:t>
      </w:r>
      <w:r>
        <w:rPr>
          <w:rFonts w:hint="eastAsia"/>
        </w:rPr>
        <w:t>9</w:t>
      </w:r>
      <w:r>
        <w:t xml:space="preserve"> 验收检测报告</w:t>
      </w:r>
      <w:bookmarkEnd w:id="1311"/>
      <w:bookmarkEnd w:id="1312"/>
      <w:bookmarkStart w:id="1313" w:name="_Toc2633"/>
    </w:p>
    <w:p>
      <w:pPr>
        <w:bidi w:val="0"/>
        <w:ind w:left="0" w:leftChars="0" w:firstLine="0" w:firstLineChars="0"/>
        <w:rPr>
          <w:rFonts w:hint="eastAsia" w:eastAsia="宋体"/>
          <w:lang w:eastAsia="zh-CN"/>
        </w:rPr>
      </w:pPr>
      <w:r>
        <w:rPr>
          <w:rFonts w:hint="eastAsia" w:eastAsia="宋体"/>
          <w:lang w:eastAsia="zh-CN"/>
        </w:rPr>
        <w:drawing>
          <wp:inline distT="0" distB="0" distL="114300" distR="114300">
            <wp:extent cx="5975350" cy="8516620"/>
            <wp:effectExtent l="0" t="0" r="6350" b="17780"/>
            <wp:docPr id="52" name="图片 52" descr="2023040119-山东德勤智能设备有限公司-报告(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3040119-山东德勤智能设备有限公司-报告(1)_00"/>
                    <pic:cNvPicPr>
                      <a:picLocks noChangeAspect="1"/>
                    </pic:cNvPicPr>
                  </pic:nvPicPr>
                  <pic:blipFill>
                    <a:blip r:embed="rId57"/>
                    <a:stretch>
                      <a:fillRect/>
                    </a:stretch>
                  </pic:blipFill>
                  <pic:spPr>
                    <a:xfrm>
                      <a:off x="0" y="0"/>
                      <a:ext cx="5975350" cy="8516620"/>
                    </a:xfrm>
                    <a:prstGeom prst="rect">
                      <a:avLst/>
                    </a:prstGeom>
                  </pic:spPr>
                </pic:pic>
              </a:graphicData>
            </a:graphic>
          </wp:inline>
        </w:drawing>
      </w:r>
      <w:r>
        <w:rPr>
          <w:rFonts w:hint="eastAsia" w:eastAsia="宋体"/>
          <w:lang w:eastAsia="zh-CN"/>
        </w:rPr>
        <w:drawing>
          <wp:inline distT="0" distB="0" distL="114300" distR="114300">
            <wp:extent cx="5975350" cy="8502015"/>
            <wp:effectExtent l="0" t="0" r="6350" b="13335"/>
            <wp:docPr id="51" name="图片 51" descr="2023040119-山东德勤智能设备有限公司-报告(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23040119-山东德勤智能设备有限公司-报告(1)_01"/>
                    <pic:cNvPicPr>
                      <a:picLocks noChangeAspect="1"/>
                    </pic:cNvPicPr>
                  </pic:nvPicPr>
                  <pic:blipFill>
                    <a:blip r:embed="rId58"/>
                    <a:stretch>
                      <a:fillRect/>
                    </a:stretch>
                  </pic:blipFill>
                  <pic:spPr>
                    <a:xfrm>
                      <a:off x="0" y="0"/>
                      <a:ext cx="5975350" cy="8502015"/>
                    </a:xfrm>
                    <a:prstGeom prst="rect">
                      <a:avLst/>
                    </a:prstGeom>
                  </pic:spPr>
                </pic:pic>
              </a:graphicData>
            </a:graphic>
          </wp:inline>
        </w:drawing>
      </w:r>
      <w:r>
        <w:rPr>
          <w:rFonts w:hint="eastAsia" w:eastAsia="宋体"/>
          <w:lang w:eastAsia="zh-CN"/>
        </w:rPr>
        <w:drawing>
          <wp:inline distT="0" distB="0" distL="114300" distR="114300">
            <wp:extent cx="5971540" cy="8505825"/>
            <wp:effectExtent l="0" t="0" r="10160" b="9525"/>
            <wp:docPr id="50" name="图片 50" descr="2023040119-山东德勤智能设备有限公司-报告(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3040119-山东德勤智能设备有限公司-报告(1)_02"/>
                    <pic:cNvPicPr>
                      <a:picLocks noChangeAspect="1"/>
                    </pic:cNvPicPr>
                  </pic:nvPicPr>
                  <pic:blipFill>
                    <a:blip r:embed="rId59"/>
                    <a:stretch>
                      <a:fillRect/>
                    </a:stretch>
                  </pic:blipFill>
                  <pic:spPr>
                    <a:xfrm>
                      <a:off x="0" y="0"/>
                      <a:ext cx="5971540" cy="8505825"/>
                    </a:xfrm>
                    <a:prstGeom prst="rect">
                      <a:avLst/>
                    </a:prstGeom>
                  </pic:spPr>
                </pic:pic>
              </a:graphicData>
            </a:graphic>
          </wp:inline>
        </w:drawing>
      </w:r>
      <w:r>
        <w:rPr>
          <w:rFonts w:hint="eastAsia" w:eastAsia="宋体"/>
          <w:lang w:eastAsia="zh-CN"/>
        </w:rPr>
        <w:drawing>
          <wp:inline distT="0" distB="0" distL="114300" distR="114300">
            <wp:extent cx="5975350" cy="8519795"/>
            <wp:effectExtent l="0" t="0" r="6350" b="14605"/>
            <wp:docPr id="49" name="图片 49" descr="2023040119-山东德勤智能设备有限公司-报告(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23040119-山东德勤智能设备有限公司-报告(1)_03"/>
                    <pic:cNvPicPr>
                      <a:picLocks noChangeAspect="1"/>
                    </pic:cNvPicPr>
                  </pic:nvPicPr>
                  <pic:blipFill>
                    <a:blip r:embed="rId60"/>
                    <a:stretch>
                      <a:fillRect/>
                    </a:stretch>
                  </pic:blipFill>
                  <pic:spPr>
                    <a:xfrm>
                      <a:off x="0" y="0"/>
                      <a:ext cx="5975350" cy="8519795"/>
                    </a:xfrm>
                    <a:prstGeom prst="rect">
                      <a:avLst/>
                    </a:prstGeom>
                  </pic:spPr>
                </pic:pic>
              </a:graphicData>
            </a:graphic>
          </wp:inline>
        </w:drawing>
      </w:r>
      <w:r>
        <w:rPr>
          <w:rFonts w:hint="eastAsia" w:eastAsia="宋体"/>
          <w:lang w:eastAsia="zh-CN"/>
        </w:rPr>
        <w:drawing>
          <wp:inline distT="0" distB="0" distL="114300" distR="114300">
            <wp:extent cx="5970905" cy="8495030"/>
            <wp:effectExtent l="0" t="0" r="10795" b="1270"/>
            <wp:docPr id="48" name="图片 48" descr="2023040119-山东德勤智能设备有限公司-报告(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3040119-山东德勤智能设备有限公司-报告(1)_04"/>
                    <pic:cNvPicPr>
                      <a:picLocks noChangeAspect="1"/>
                    </pic:cNvPicPr>
                  </pic:nvPicPr>
                  <pic:blipFill>
                    <a:blip r:embed="rId61"/>
                    <a:stretch>
                      <a:fillRect/>
                    </a:stretch>
                  </pic:blipFill>
                  <pic:spPr>
                    <a:xfrm>
                      <a:off x="0" y="0"/>
                      <a:ext cx="5970905" cy="8495030"/>
                    </a:xfrm>
                    <a:prstGeom prst="rect">
                      <a:avLst/>
                    </a:prstGeom>
                  </pic:spPr>
                </pic:pic>
              </a:graphicData>
            </a:graphic>
          </wp:inline>
        </w:drawing>
      </w:r>
      <w:r>
        <w:rPr>
          <w:rFonts w:hint="eastAsia" w:eastAsia="宋体"/>
          <w:lang w:eastAsia="zh-CN"/>
        </w:rPr>
        <w:drawing>
          <wp:inline distT="0" distB="0" distL="114300" distR="114300">
            <wp:extent cx="5975350" cy="8512810"/>
            <wp:effectExtent l="0" t="0" r="6350" b="2540"/>
            <wp:docPr id="47" name="图片 47" descr="2023040119-山东德勤智能设备有限公司-报告(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3040119-山东德勤智能设备有限公司-报告(1)_05"/>
                    <pic:cNvPicPr>
                      <a:picLocks noChangeAspect="1"/>
                    </pic:cNvPicPr>
                  </pic:nvPicPr>
                  <pic:blipFill>
                    <a:blip r:embed="rId62"/>
                    <a:stretch>
                      <a:fillRect/>
                    </a:stretch>
                  </pic:blipFill>
                  <pic:spPr>
                    <a:xfrm>
                      <a:off x="0" y="0"/>
                      <a:ext cx="5975350" cy="8512810"/>
                    </a:xfrm>
                    <a:prstGeom prst="rect">
                      <a:avLst/>
                    </a:prstGeom>
                  </pic:spPr>
                </pic:pic>
              </a:graphicData>
            </a:graphic>
          </wp:inline>
        </w:drawing>
      </w:r>
      <w:r>
        <w:rPr>
          <w:rFonts w:hint="eastAsia" w:eastAsia="宋体"/>
          <w:lang w:eastAsia="zh-CN"/>
        </w:rPr>
        <w:drawing>
          <wp:inline distT="0" distB="0" distL="114300" distR="114300">
            <wp:extent cx="5970905" cy="8505825"/>
            <wp:effectExtent l="0" t="0" r="10795" b="9525"/>
            <wp:docPr id="46" name="图片 46" descr="2023040119-山东德勤智能设备有限公司-报告(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3040119-山东德勤智能设备有限公司-报告(1)_06"/>
                    <pic:cNvPicPr>
                      <a:picLocks noChangeAspect="1"/>
                    </pic:cNvPicPr>
                  </pic:nvPicPr>
                  <pic:blipFill>
                    <a:blip r:embed="rId63"/>
                    <a:stretch>
                      <a:fillRect/>
                    </a:stretch>
                  </pic:blipFill>
                  <pic:spPr>
                    <a:xfrm>
                      <a:off x="0" y="0"/>
                      <a:ext cx="5970905" cy="8505825"/>
                    </a:xfrm>
                    <a:prstGeom prst="rect">
                      <a:avLst/>
                    </a:prstGeom>
                  </pic:spPr>
                </pic:pic>
              </a:graphicData>
            </a:graphic>
          </wp:inline>
        </w:drawing>
      </w:r>
      <w:r>
        <w:rPr>
          <w:rFonts w:hint="eastAsia" w:eastAsia="宋体"/>
          <w:lang w:eastAsia="zh-CN"/>
        </w:rPr>
        <w:drawing>
          <wp:inline distT="0" distB="0" distL="114300" distR="114300">
            <wp:extent cx="5965825" cy="4186555"/>
            <wp:effectExtent l="0" t="0" r="15875" b="4445"/>
            <wp:docPr id="45" name="图片 45" descr="2023040119-山东德勤智能设备有限公司-报告(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3040119-山东德勤智能设备有限公司-报告(1)_07"/>
                    <pic:cNvPicPr>
                      <a:picLocks noChangeAspect="1"/>
                    </pic:cNvPicPr>
                  </pic:nvPicPr>
                  <pic:blipFill>
                    <a:blip r:embed="rId64"/>
                    <a:stretch>
                      <a:fillRect/>
                    </a:stretch>
                  </pic:blipFill>
                  <pic:spPr>
                    <a:xfrm>
                      <a:off x="0" y="0"/>
                      <a:ext cx="5965825" cy="4186555"/>
                    </a:xfrm>
                    <a:prstGeom prst="rect">
                      <a:avLst/>
                    </a:prstGeom>
                  </pic:spPr>
                </pic:pic>
              </a:graphicData>
            </a:graphic>
          </wp:inline>
        </w:drawing>
      </w:r>
      <w:r>
        <w:rPr>
          <w:rFonts w:hint="eastAsia" w:eastAsia="宋体"/>
          <w:lang w:eastAsia="zh-CN"/>
        </w:rPr>
        <w:drawing>
          <wp:inline distT="0" distB="0" distL="114300" distR="114300">
            <wp:extent cx="5967095" cy="4194175"/>
            <wp:effectExtent l="0" t="0" r="14605" b="15875"/>
            <wp:docPr id="44" name="图片 44" descr="2023040119-山东德勤智能设备有限公司-报告(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3040119-山东德勤智能设备有限公司-报告(1)_08"/>
                    <pic:cNvPicPr>
                      <a:picLocks noChangeAspect="1"/>
                    </pic:cNvPicPr>
                  </pic:nvPicPr>
                  <pic:blipFill>
                    <a:blip r:embed="rId65"/>
                    <a:stretch>
                      <a:fillRect/>
                    </a:stretch>
                  </pic:blipFill>
                  <pic:spPr>
                    <a:xfrm>
                      <a:off x="0" y="0"/>
                      <a:ext cx="5967095" cy="4194175"/>
                    </a:xfrm>
                    <a:prstGeom prst="rect">
                      <a:avLst/>
                    </a:prstGeom>
                  </pic:spPr>
                </pic:pic>
              </a:graphicData>
            </a:graphic>
          </wp:inline>
        </w:drawing>
      </w:r>
      <w:r>
        <w:rPr>
          <w:rFonts w:hint="eastAsia" w:eastAsia="宋体"/>
          <w:lang w:eastAsia="zh-CN"/>
        </w:rPr>
        <w:drawing>
          <wp:inline distT="0" distB="0" distL="114300" distR="114300">
            <wp:extent cx="5971540" cy="4191635"/>
            <wp:effectExtent l="0" t="0" r="10160" b="18415"/>
            <wp:docPr id="43" name="图片 43" descr="2023040119-山东德勤智能设备有限公司-报告(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3040119-山东德勤智能设备有限公司-报告(1)_09"/>
                    <pic:cNvPicPr>
                      <a:picLocks noChangeAspect="1"/>
                    </pic:cNvPicPr>
                  </pic:nvPicPr>
                  <pic:blipFill>
                    <a:blip r:embed="rId66"/>
                    <a:stretch>
                      <a:fillRect/>
                    </a:stretch>
                  </pic:blipFill>
                  <pic:spPr>
                    <a:xfrm>
                      <a:off x="0" y="0"/>
                      <a:ext cx="5971540" cy="4191635"/>
                    </a:xfrm>
                    <a:prstGeom prst="rect">
                      <a:avLst/>
                    </a:prstGeom>
                  </pic:spPr>
                </pic:pic>
              </a:graphicData>
            </a:graphic>
          </wp:inline>
        </w:drawing>
      </w:r>
      <w:r>
        <w:rPr>
          <w:rFonts w:hint="eastAsia" w:eastAsia="宋体"/>
          <w:lang w:eastAsia="zh-CN"/>
        </w:rPr>
        <w:drawing>
          <wp:inline distT="0" distB="0" distL="114300" distR="114300">
            <wp:extent cx="5967095" cy="4191635"/>
            <wp:effectExtent l="0" t="0" r="14605" b="18415"/>
            <wp:docPr id="42" name="图片 42" descr="2023040119-山东德勤智能设备有限公司-报告(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3040119-山东德勤智能设备有限公司-报告(1)_10"/>
                    <pic:cNvPicPr>
                      <a:picLocks noChangeAspect="1"/>
                    </pic:cNvPicPr>
                  </pic:nvPicPr>
                  <pic:blipFill>
                    <a:blip r:embed="rId67"/>
                    <a:stretch>
                      <a:fillRect/>
                    </a:stretch>
                  </pic:blipFill>
                  <pic:spPr>
                    <a:xfrm>
                      <a:off x="0" y="0"/>
                      <a:ext cx="5967095" cy="4191635"/>
                    </a:xfrm>
                    <a:prstGeom prst="rect">
                      <a:avLst/>
                    </a:prstGeom>
                  </pic:spPr>
                </pic:pic>
              </a:graphicData>
            </a:graphic>
          </wp:inline>
        </w:drawing>
      </w:r>
      <w:r>
        <w:rPr>
          <w:rFonts w:hint="eastAsia" w:eastAsia="宋体"/>
          <w:lang w:eastAsia="zh-CN"/>
        </w:rPr>
        <w:drawing>
          <wp:inline distT="0" distB="0" distL="114300" distR="114300">
            <wp:extent cx="5971540" cy="4196715"/>
            <wp:effectExtent l="0" t="0" r="10160" b="13335"/>
            <wp:docPr id="41" name="图片 41" descr="2023040119-山东德勤智能设备有限公司-报告(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3040119-山东德勤智能设备有限公司-报告(1)_11"/>
                    <pic:cNvPicPr>
                      <a:picLocks noChangeAspect="1"/>
                    </pic:cNvPicPr>
                  </pic:nvPicPr>
                  <pic:blipFill>
                    <a:blip r:embed="rId68"/>
                    <a:stretch>
                      <a:fillRect/>
                    </a:stretch>
                  </pic:blipFill>
                  <pic:spPr>
                    <a:xfrm>
                      <a:off x="0" y="0"/>
                      <a:ext cx="5971540" cy="4196715"/>
                    </a:xfrm>
                    <a:prstGeom prst="rect">
                      <a:avLst/>
                    </a:prstGeom>
                  </pic:spPr>
                </pic:pic>
              </a:graphicData>
            </a:graphic>
          </wp:inline>
        </w:drawing>
      </w:r>
      <w:r>
        <w:rPr>
          <w:rFonts w:hint="eastAsia" w:eastAsia="宋体"/>
          <w:lang w:eastAsia="zh-CN"/>
        </w:rPr>
        <w:drawing>
          <wp:inline distT="0" distB="0" distL="114300" distR="114300">
            <wp:extent cx="5974080" cy="4199255"/>
            <wp:effectExtent l="0" t="0" r="7620" b="10795"/>
            <wp:docPr id="40" name="图片 40" descr="2023040119-山东德勤智能设备有限公司-报告(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3040119-山东德勤智能设备有限公司-报告(1)_12"/>
                    <pic:cNvPicPr>
                      <a:picLocks noChangeAspect="1"/>
                    </pic:cNvPicPr>
                  </pic:nvPicPr>
                  <pic:blipFill>
                    <a:blip r:embed="rId69"/>
                    <a:stretch>
                      <a:fillRect/>
                    </a:stretch>
                  </pic:blipFill>
                  <pic:spPr>
                    <a:xfrm>
                      <a:off x="0" y="0"/>
                      <a:ext cx="5974080" cy="4199255"/>
                    </a:xfrm>
                    <a:prstGeom prst="rect">
                      <a:avLst/>
                    </a:prstGeom>
                  </pic:spPr>
                </pic:pic>
              </a:graphicData>
            </a:graphic>
          </wp:inline>
        </w:drawing>
      </w:r>
      <w:r>
        <w:rPr>
          <w:rFonts w:hint="eastAsia" w:eastAsia="宋体"/>
          <w:lang w:eastAsia="zh-CN"/>
        </w:rPr>
        <w:drawing>
          <wp:inline distT="0" distB="0" distL="114300" distR="114300">
            <wp:extent cx="5967095" cy="4199255"/>
            <wp:effectExtent l="0" t="0" r="14605" b="10795"/>
            <wp:docPr id="39" name="图片 39" descr="2023040119-山东德勤智能设备有限公司-报告(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3040119-山东德勤智能设备有限公司-报告(1)_13"/>
                    <pic:cNvPicPr>
                      <a:picLocks noChangeAspect="1"/>
                    </pic:cNvPicPr>
                  </pic:nvPicPr>
                  <pic:blipFill>
                    <a:blip r:embed="rId70"/>
                    <a:stretch>
                      <a:fillRect/>
                    </a:stretch>
                  </pic:blipFill>
                  <pic:spPr>
                    <a:xfrm>
                      <a:off x="0" y="0"/>
                      <a:ext cx="5967095" cy="4199255"/>
                    </a:xfrm>
                    <a:prstGeom prst="rect">
                      <a:avLst/>
                    </a:prstGeom>
                  </pic:spPr>
                </pic:pic>
              </a:graphicData>
            </a:graphic>
          </wp:inline>
        </w:drawing>
      </w:r>
      <w:r>
        <w:rPr>
          <w:rFonts w:hint="eastAsia" w:eastAsia="宋体"/>
          <w:lang w:eastAsia="zh-CN"/>
        </w:rPr>
        <w:drawing>
          <wp:inline distT="0" distB="0" distL="114300" distR="114300">
            <wp:extent cx="5967095" cy="4196715"/>
            <wp:effectExtent l="0" t="0" r="14605" b="13335"/>
            <wp:docPr id="38" name="图片 38" descr="2023040119-山东德勤智能设备有限公司-报告(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3040119-山东德勤智能设备有限公司-报告(1)_14"/>
                    <pic:cNvPicPr>
                      <a:picLocks noChangeAspect="1"/>
                    </pic:cNvPicPr>
                  </pic:nvPicPr>
                  <pic:blipFill>
                    <a:blip r:embed="rId71"/>
                    <a:stretch>
                      <a:fillRect/>
                    </a:stretch>
                  </pic:blipFill>
                  <pic:spPr>
                    <a:xfrm>
                      <a:off x="0" y="0"/>
                      <a:ext cx="5967095" cy="4196715"/>
                    </a:xfrm>
                    <a:prstGeom prst="rect">
                      <a:avLst/>
                    </a:prstGeom>
                  </pic:spPr>
                </pic:pic>
              </a:graphicData>
            </a:graphic>
          </wp:inline>
        </w:drawing>
      </w:r>
      <w:r>
        <w:rPr>
          <w:rFonts w:hint="eastAsia" w:eastAsia="宋体"/>
          <w:lang w:eastAsia="zh-CN"/>
        </w:rPr>
        <w:drawing>
          <wp:inline distT="0" distB="0" distL="114300" distR="114300">
            <wp:extent cx="5965825" cy="4186555"/>
            <wp:effectExtent l="0" t="0" r="15875" b="4445"/>
            <wp:docPr id="37" name="图片 37" descr="2023040119-山东德勤智能设备有限公司-报告(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3040119-山东德勤智能设备有限公司-报告(1)_15"/>
                    <pic:cNvPicPr>
                      <a:picLocks noChangeAspect="1"/>
                    </pic:cNvPicPr>
                  </pic:nvPicPr>
                  <pic:blipFill>
                    <a:blip r:embed="rId72"/>
                    <a:stretch>
                      <a:fillRect/>
                    </a:stretch>
                  </pic:blipFill>
                  <pic:spPr>
                    <a:xfrm>
                      <a:off x="0" y="0"/>
                      <a:ext cx="5965825" cy="4186555"/>
                    </a:xfrm>
                    <a:prstGeom prst="rect">
                      <a:avLst/>
                    </a:prstGeom>
                  </pic:spPr>
                </pic:pic>
              </a:graphicData>
            </a:graphic>
          </wp:inline>
        </w:drawing>
      </w:r>
      <w:r>
        <w:rPr>
          <w:rFonts w:hint="eastAsia" w:eastAsia="宋体"/>
          <w:lang w:eastAsia="zh-CN"/>
        </w:rPr>
        <w:drawing>
          <wp:inline distT="0" distB="0" distL="114300" distR="114300">
            <wp:extent cx="5967095" cy="4196715"/>
            <wp:effectExtent l="0" t="0" r="14605" b="13335"/>
            <wp:docPr id="36" name="图片 36" descr="2023040119-山东德勤智能设备有限公司-报告(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3040119-山东德勤智能设备有限公司-报告(1)_16"/>
                    <pic:cNvPicPr>
                      <a:picLocks noChangeAspect="1"/>
                    </pic:cNvPicPr>
                  </pic:nvPicPr>
                  <pic:blipFill>
                    <a:blip r:embed="rId73"/>
                    <a:stretch>
                      <a:fillRect/>
                    </a:stretch>
                  </pic:blipFill>
                  <pic:spPr>
                    <a:xfrm>
                      <a:off x="0" y="0"/>
                      <a:ext cx="5967095" cy="4196715"/>
                    </a:xfrm>
                    <a:prstGeom prst="rect">
                      <a:avLst/>
                    </a:prstGeom>
                  </pic:spPr>
                </pic:pic>
              </a:graphicData>
            </a:graphic>
          </wp:inline>
        </w:drawing>
      </w:r>
      <w:r>
        <w:rPr>
          <w:rFonts w:hint="eastAsia" w:eastAsia="宋体"/>
          <w:lang w:eastAsia="zh-CN"/>
        </w:rPr>
        <w:drawing>
          <wp:inline distT="0" distB="0" distL="114300" distR="114300">
            <wp:extent cx="5969000" cy="4194175"/>
            <wp:effectExtent l="0" t="0" r="12700" b="15875"/>
            <wp:docPr id="35" name="图片 35" descr="2023040119-山东德勤智能设备有限公司-报告(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3040119-山东德勤智能设备有限公司-报告(1)_17"/>
                    <pic:cNvPicPr>
                      <a:picLocks noChangeAspect="1"/>
                    </pic:cNvPicPr>
                  </pic:nvPicPr>
                  <pic:blipFill>
                    <a:blip r:embed="rId74"/>
                    <a:stretch>
                      <a:fillRect/>
                    </a:stretch>
                  </pic:blipFill>
                  <pic:spPr>
                    <a:xfrm>
                      <a:off x="0" y="0"/>
                      <a:ext cx="5969000" cy="4194175"/>
                    </a:xfrm>
                    <a:prstGeom prst="rect">
                      <a:avLst/>
                    </a:prstGeom>
                  </pic:spPr>
                </pic:pic>
              </a:graphicData>
            </a:graphic>
          </wp:inline>
        </w:drawing>
      </w:r>
      <w:r>
        <w:rPr>
          <w:rFonts w:hint="eastAsia" w:eastAsia="宋体"/>
          <w:lang w:eastAsia="zh-CN"/>
        </w:rPr>
        <w:drawing>
          <wp:inline distT="0" distB="0" distL="114300" distR="114300">
            <wp:extent cx="5969000" cy="4194175"/>
            <wp:effectExtent l="0" t="0" r="12700" b="15875"/>
            <wp:docPr id="34" name="图片 34" descr="2023040119-山东德勤智能设备有限公司-报告(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3040119-山东德勤智能设备有限公司-报告(1)_18"/>
                    <pic:cNvPicPr>
                      <a:picLocks noChangeAspect="1"/>
                    </pic:cNvPicPr>
                  </pic:nvPicPr>
                  <pic:blipFill>
                    <a:blip r:embed="rId75"/>
                    <a:stretch>
                      <a:fillRect/>
                    </a:stretch>
                  </pic:blipFill>
                  <pic:spPr>
                    <a:xfrm>
                      <a:off x="0" y="0"/>
                      <a:ext cx="5969000" cy="4194175"/>
                    </a:xfrm>
                    <a:prstGeom prst="rect">
                      <a:avLst/>
                    </a:prstGeom>
                  </pic:spPr>
                </pic:pic>
              </a:graphicData>
            </a:graphic>
          </wp:inline>
        </w:drawing>
      </w:r>
      <w:r>
        <w:rPr>
          <w:rFonts w:hint="eastAsia" w:eastAsia="宋体"/>
          <w:lang w:eastAsia="zh-CN"/>
        </w:rPr>
        <w:drawing>
          <wp:inline distT="0" distB="0" distL="114300" distR="114300">
            <wp:extent cx="5971540" cy="4191635"/>
            <wp:effectExtent l="0" t="0" r="10160" b="18415"/>
            <wp:docPr id="33" name="图片 33" descr="2023040119-山东德勤智能设备有限公司-报告(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3040119-山东德勤智能设备有限公司-报告(1)_19"/>
                    <pic:cNvPicPr>
                      <a:picLocks noChangeAspect="1"/>
                    </pic:cNvPicPr>
                  </pic:nvPicPr>
                  <pic:blipFill>
                    <a:blip r:embed="rId76"/>
                    <a:stretch>
                      <a:fillRect/>
                    </a:stretch>
                  </pic:blipFill>
                  <pic:spPr>
                    <a:xfrm>
                      <a:off x="0" y="0"/>
                      <a:ext cx="5971540" cy="4191635"/>
                    </a:xfrm>
                    <a:prstGeom prst="rect">
                      <a:avLst/>
                    </a:prstGeom>
                  </pic:spPr>
                </pic:pic>
              </a:graphicData>
            </a:graphic>
          </wp:inline>
        </w:drawing>
      </w:r>
      <w:r>
        <w:rPr>
          <w:rFonts w:hint="eastAsia" w:eastAsia="宋体"/>
          <w:lang w:eastAsia="zh-CN"/>
        </w:rPr>
        <w:drawing>
          <wp:inline distT="0" distB="0" distL="114300" distR="114300">
            <wp:extent cx="5972175" cy="4199255"/>
            <wp:effectExtent l="0" t="0" r="9525" b="10795"/>
            <wp:docPr id="32" name="图片 32" descr="2023040119-山东德勤智能设备有限公司-报告(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3040119-山东德勤智能设备有限公司-报告(1)_20"/>
                    <pic:cNvPicPr>
                      <a:picLocks noChangeAspect="1"/>
                    </pic:cNvPicPr>
                  </pic:nvPicPr>
                  <pic:blipFill>
                    <a:blip r:embed="rId77"/>
                    <a:stretch>
                      <a:fillRect/>
                    </a:stretch>
                  </pic:blipFill>
                  <pic:spPr>
                    <a:xfrm>
                      <a:off x="0" y="0"/>
                      <a:ext cx="5972175" cy="4199255"/>
                    </a:xfrm>
                    <a:prstGeom prst="rect">
                      <a:avLst/>
                    </a:prstGeom>
                  </pic:spPr>
                </pic:pic>
              </a:graphicData>
            </a:graphic>
          </wp:inline>
        </w:drawing>
      </w:r>
      <w:r>
        <w:rPr>
          <w:rFonts w:hint="eastAsia" w:eastAsia="宋体"/>
          <w:lang w:eastAsia="zh-CN"/>
        </w:rPr>
        <w:drawing>
          <wp:inline distT="0" distB="0" distL="114300" distR="114300">
            <wp:extent cx="5971540" cy="4196715"/>
            <wp:effectExtent l="0" t="0" r="10160" b="13335"/>
            <wp:docPr id="31" name="图片 31" descr="2023040119-山东德勤智能设备有限公司-报告(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3040119-山东德勤智能设备有限公司-报告(1)_21"/>
                    <pic:cNvPicPr>
                      <a:picLocks noChangeAspect="1"/>
                    </pic:cNvPicPr>
                  </pic:nvPicPr>
                  <pic:blipFill>
                    <a:blip r:embed="rId78"/>
                    <a:stretch>
                      <a:fillRect/>
                    </a:stretch>
                  </pic:blipFill>
                  <pic:spPr>
                    <a:xfrm>
                      <a:off x="0" y="0"/>
                      <a:ext cx="5971540" cy="4196715"/>
                    </a:xfrm>
                    <a:prstGeom prst="rect">
                      <a:avLst/>
                    </a:prstGeom>
                  </pic:spPr>
                </pic:pic>
              </a:graphicData>
            </a:graphic>
          </wp:inline>
        </w:drawing>
      </w:r>
      <w:r>
        <w:rPr>
          <w:rFonts w:hint="eastAsia" w:eastAsia="宋体"/>
          <w:lang w:eastAsia="zh-CN"/>
        </w:rPr>
        <w:drawing>
          <wp:inline distT="0" distB="0" distL="114300" distR="114300">
            <wp:extent cx="5967095" cy="4189095"/>
            <wp:effectExtent l="0" t="0" r="14605" b="1905"/>
            <wp:docPr id="30" name="图片 30" descr="2023040119-山东德勤智能设备有限公司-报告(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3040119-山东德勤智能设备有限公司-报告(1)_22"/>
                    <pic:cNvPicPr>
                      <a:picLocks noChangeAspect="1"/>
                    </pic:cNvPicPr>
                  </pic:nvPicPr>
                  <pic:blipFill>
                    <a:blip r:embed="rId79"/>
                    <a:stretch>
                      <a:fillRect/>
                    </a:stretch>
                  </pic:blipFill>
                  <pic:spPr>
                    <a:xfrm>
                      <a:off x="0" y="0"/>
                      <a:ext cx="5967095" cy="4189095"/>
                    </a:xfrm>
                    <a:prstGeom prst="rect">
                      <a:avLst/>
                    </a:prstGeom>
                  </pic:spPr>
                </pic:pic>
              </a:graphicData>
            </a:graphic>
          </wp:inline>
        </w:drawing>
      </w:r>
      <w:r>
        <w:rPr>
          <w:rFonts w:hint="eastAsia" w:eastAsia="宋体"/>
          <w:lang w:eastAsia="zh-CN"/>
        </w:rPr>
        <w:drawing>
          <wp:inline distT="0" distB="0" distL="114300" distR="114300">
            <wp:extent cx="5967095" cy="4196715"/>
            <wp:effectExtent l="0" t="0" r="14605" b="13335"/>
            <wp:docPr id="29" name="图片 29" descr="2023040119-山东德勤智能设备有限公司-报告(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3040119-山东德勤智能设备有限公司-报告(1)_23"/>
                    <pic:cNvPicPr>
                      <a:picLocks noChangeAspect="1"/>
                    </pic:cNvPicPr>
                  </pic:nvPicPr>
                  <pic:blipFill>
                    <a:blip r:embed="rId80"/>
                    <a:stretch>
                      <a:fillRect/>
                    </a:stretch>
                  </pic:blipFill>
                  <pic:spPr>
                    <a:xfrm>
                      <a:off x="0" y="0"/>
                      <a:ext cx="5967095" cy="4196715"/>
                    </a:xfrm>
                    <a:prstGeom prst="rect">
                      <a:avLst/>
                    </a:prstGeom>
                  </pic:spPr>
                </pic:pic>
              </a:graphicData>
            </a:graphic>
          </wp:inline>
        </w:drawing>
      </w:r>
      <w:r>
        <w:rPr>
          <w:rFonts w:hint="eastAsia" w:eastAsia="宋体"/>
          <w:lang w:eastAsia="zh-CN"/>
        </w:rPr>
        <w:drawing>
          <wp:inline distT="0" distB="0" distL="114300" distR="114300">
            <wp:extent cx="5969000" cy="4194175"/>
            <wp:effectExtent l="0" t="0" r="12700" b="15875"/>
            <wp:docPr id="28" name="图片 28" descr="2023040119-山东德勤智能设备有限公司-报告(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3040119-山东德勤智能设备有限公司-报告(1)_24"/>
                    <pic:cNvPicPr>
                      <a:picLocks noChangeAspect="1"/>
                    </pic:cNvPicPr>
                  </pic:nvPicPr>
                  <pic:blipFill>
                    <a:blip r:embed="rId81"/>
                    <a:stretch>
                      <a:fillRect/>
                    </a:stretch>
                  </pic:blipFill>
                  <pic:spPr>
                    <a:xfrm>
                      <a:off x="0" y="0"/>
                      <a:ext cx="5969000" cy="4194175"/>
                    </a:xfrm>
                    <a:prstGeom prst="rect">
                      <a:avLst/>
                    </a:prstGeom>
                  </pic:spPr>
                </pic:pic>
              </a:graphicData>
            </a:graphic>
          </wp:inline>
        </w:drawing>
      </w:r>
      <w:r>
        <w:rPr>
          <w:rFonts w:hint="eastAsia" w:eastAsia="宋体"/>
          <w:lang w:eastAsia="zh-CN"/>
        </w:rPr>
        <w:drawing>
          <wp:inline distT="0" distB="0" distL="114300" distR="114300">
            <wp:extent cx="5971540" cy="8505825"/>
            <wp:effectExtent l="0" t="0" r="10160" b="9525"/>
            <wp:docPr id="27" name="图片 27" descr="2023040119-山东德勤智能设备有限公司-报告(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3040119-山东德勤智能设备有限公司-报告(1)_25"/>
                    <pic:cNvPicPr>
                      <a:picLocks noChangeAspect="1"/>
                    </pic:cNvPicPr>
                  </pic:nvPicPr>
                  <pic:blipFill>
                    <a:blip r:embed="rId82"/>
                    <a:stretch>
                      <a:fillRect/>
                    </a:stretch>
                  </pic:blipFill>
                  <pic:spPr>
                    <a:xfrm>
                      <a:off x="0" y="0"/>
                      <a:ext cx="5971540" cy="8505825"/>
                    </a:xfrm>
                    <a:prstGeom prst="rect">
                      <a:avLst/>
                    </a:prstGeom>
                  </pic:spPr>
                </pic:pic>
              </a:graphicData>
            </a:graphic>
          </wp:inline>
        </w:drawing>
      </w:r>
      <w:r>
        <w:rPr>
          <w:rFonts w:hint="eastAsia" w:eastAsia="宋体"/>
          <w:lang w:eastAsia="zh-CN"/>
        </w:rPr>
        <w:drawing>
          <wp:inline distT="0" distB="0" distL="114300" distR="114300">
            <wp:extent cx="5971540" cy="8498205"/>
            <wp:effectExtent l="0" t="0" r="10160" b="17145"/>
            <wp:docPr id="26" name="图片 26" descr="2023040119-山东德勤智能设备有限公司-报告(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3040119-山东德勤智能设备有限公司-报告(1)_26"/>
                    <pic:cNvPicPr>
                      <a:picLocks noChangeAspect="1"/>
                    </pic:cNvPicPr>
                  </pic:nvPicPr>
                  <pic:blipFill>
                    <a:blip r:embed="rId83"/>
                    <a:stretch>
                      <a:fillRect/>
                    </a:stretch>
                  </pic:blipFill>
                  <pic:spPr>
                    <a:xfrm>
                      <a:off x="0" y="0"/>
                      <a:ext cx="5971540" cy="8498205"/>
                    </a:xfrm>
                    <a:prstGeom prst="rect">
                      <a:avLst/>
                    </a:prstGeom>
                  </pic:spPr>
                </pic:pic>
              </a:graphicData>
            </a:graphic>
          </wp:inline>
        </w:drawing>
      </w:r>
      <w:r>
        <w:rPr>
          <w:rFonts w:hint="eastAsia" w:eastAsia="宋体"/>
          <w:lang w:eastAsia="zh-CN"/>
        </w:rPr>
        <w:drawing>
          <wp:inline distT="0" distB="0" distL="114300" distR="114300">
            <wp:extent cx="5970905" cy="8495030"/>
            <wp:effectExtent l="0" t="0" r="10795" b="1270"/>
            <wp:docPr id="24" name="图片 24" descr="2023040119-山东德勤智能设备有限公司-报告(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3040119-山东德勤智能设备有限公司-报告(1)_27"/>
                    <pic:cNvPicPr>
                      <a:picLocks noChangeAspect="1"/>
                    </pic:cNvPicPr>
                  </pic:nvPicPr>
                  <pic:blipFill>
                    <a:blip r:embed="rId84"/>
                    <a:stretch>
                      <a:fillRect/>
                    </a:stretch>
                  </pic:blipFill>
                  <pic:spPr>
                    <a:xfrm>
                      <a:off x="0" y="0"/>
                      <a:ext cx="5970905" cy="8495030"/>
                    </a:xfrm>
                    <a:prstGeom prst="rect">
                      <a:avLst/>
                    </a:prstGeom>
                  </pic:spPr>
                </pic:pic>
              </a:graphicData>
            </a:graphic>
          </wp:inline>
        </w:drawing>
      </w:r>
      <w:r>
        <w:rPr>
          <w:rFonts w:hint="eastAsia" w:eastAsia="宋体"/>
          <w:lang w:eastAsia="zh-CN"/>
        </w:rPr>
        <w:drawing>
          <wp:inline distT="0" distB="0" distL="114300" distR="114300">
            <wp:extent cx="5971540" cy="8498205"/>
            <wp:effectExtent l="0" t="0" r="10160" b="17145"/>
            <wp:docPr id="23" name="图片 23" descr="2023040119-山东德勤智能设备有限公司-报告(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3040119-山东德勤智能设备有限公司-报告(1)_28"/>
                    <pic:cNvPicPr>
                      <a:picLocks noChangeAspect="1"/>
                    </pic:cNvPicPr>
                  </pic:nvPicPr>
                  <pic:blipFill>
                    <a:blip r:embed="rId85"/>
                    <a:stretch>
                      <a:fillRect/>
                    </a:stretch>
                  </pic:blipFill>
                  <pic:spPr>
                    <a:xfrm>
                      <a:off x="0" y="0"/>
                      <a:ext cx="5971540" cy="8498205"/>
                    </a:xfrm>
                    <a:prstGeom prst="rect">
                      <a:avLst/>
                    </a:prstGeom>
                  </pic:spPr>
                </pic:pic>
              </a:graphicData>
            </a:graphic>
          </wp:inline>
        </w:drawing>
      </w:r>
      <w:r>
        <w:rPr>
          <w:rFonts w:hint="eastAsia" w:eastAsia="宋体"/>
          <w:lang w:eastAsia="zh-CN"/>
        </w:rPr>
        <w:drawing>
          <wp:inline distT="0" distB="0" distL="114300" distR="114300">
            <wp:extent cx="5975350" cy="8501380"/>
            <wp:effectExtent l="0" t="0" r="6350" b="13970"/>
            <wp:docPr id="22" name="图片 22" descr="2023040119-山东德勤智能设备有限公司-报告(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3040119-山东德勤智能设备有限公司-报告(1)_29"/>
                    <pic:cNvPicPr>
                      <a:picLocks noChangeAspect="1"/>
                    </pic:cNvPicPr>
                  </pic:nvPicPr>
                  <pic:blipFill>
                    <a:blip r:embed="rId86"/>
                    <a:stretch>
                      <a:fillRect/>
                    </a:stretch>
                  </pic:blipFill>
                  <pic:spPr>
                    <a:xfrm>
                      <a:off x="0" y="0"/>
                      <a:ext cx="5975350" cy="8501380"/>
                    </a:xfrm>
                    <a:prstGeom prst="rect">
                      <a:avLst/>
                    </a:prstGeom>
                  </pic:spPr>
                </pic:pic>
              </a:graphicData>
            </a:graphic>
          </wp:inline>
        </w:drawing>
      </w:r>
      <w:r>
        <w:rPr>
          <w:rFonts w:hint="eastAsia" w:eastAsia="宋体"/>
          <w:lang w:eastAsia="zh-CN"/>
        </w:rPr>
        <w:drawing>
          <wp:inline distT="0" distB="0" distL="114300" distR="114300">
            <wp:extent cx="5970905" cy="8480425"/>
            <wp:effectExtent l="0" t="0" r="10795" b="15875"/>
            <wp:docPr id="20" name="图片 20" descr="2023040119-山东德勤智能设备有限公司-报告(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3040119-山东德勤智能设备有限公司-报告(1)_30"/>
                    <pic:cNvPicPr>
                      <a:picLocks noChangeAspect="1"/>
                    </pic:cNvPicPr>
                  </pic:nvPicPr>
                  <pic:blipFill>
                    <a:blip r:embed="rId87"/>
                    <a:stretch>
                      <a:fillRect/>
                    </a:stretch>
                  </pic:blipFill>
                  <pic:spPr>
                    <a:xfrm>
                      <a:off x="0" y="0"/>
                      <a:ext cx="5970905" cy="8480425"/>
                    </a:xfrm>
                    <a:prstGeom prst="rect">
                      <a:avLst/>
                    </a:prstGeom>
                  </pic:spPr>
                </pic:pic>
              </a:graphicData>
            </a:graphic>
          </wp:inline>
        </w:drawing>
      </w:r>
      <w:r>
        <w:rPr>
          <w:rFonts w:hint="eastAsia" w:eastAsia="宋体"/>
          <w:lang w:eastAsia="zh-CN"/>
        </w:rPr>
        <w:drawing>
          <wp:inline distT="0" distB="0" distL="114300" distR="114300">
            <wp:extent cx="5971540" cy="8501380"/>
            <wp:effectExtent l="0" t="0" r="10160" b="13970"/>
            <wp:docPr id="15" name="图片 15" descr="2023040119-山东德勤智能设备有限公司-报告(1)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3040119-山东德勤智能设备有限公司-报告(1)_31"/>
                    <pic:cNvPicPr>
                      <a:picLocks noChangeAspect="1"/>
                    </pic:cNvPicPr>
                  </pic:nvPicPr>
                  <pic:blipFill>
                    <a:blip r:embed="rId88"/>
                    <a:stretch>
                      <a:fillRect/>
                    </a:stretch>
                  </pic:blipFill>
                  <pic:spPr>
                    <a:xfrm>
                      <a:off x="0" y="0"/>
                      <a:ext cx="5971540" cy="8501380"/>
                    </a:xfrm>
                    <a:prstGeom prst="rect">
                      <a:avLst/>
                    </a:prstGeom>
                  </pic:spPr>
                </pic:pic>
              </a:graphicData>
            </a:graphic>
          </wp:inline>
        </w:drawing>
      </w:r>
    </w:p>
    <w:p>
      <w:pPr>
        <w:rPr>
          <w:rFonts w:hint="eastAsia" w:eastAsia="宋体"/>
          <w:lang w:eastAsia="zh-CN"/>
        </w:rPr>
      </w:pPr>
    </w:p>
    <w:p>
      <w:pPr>
        <w:rPr>
          <w:rFonts w:hint="eastAsia" w:eastAsia="宋体"/>
          <w:lang w:eastAsia="zh-CN"/>
        </w:rPr>
        <w:sectPr>
          <w:footerReference r:id="rId12" w:type="default"/>
          <w:pgSz w:w="11905" w:h="16838"/>
          <w:pgMar w:top="1247" w:right="1247" w:bottom="1247" w:left="1247" w:header="709" w:footer="680" w:gutter="0"/>
          <w:cols w:space="0" w:num="1"/>
          <w:docGrid w:type="lines" w:linePitch="336" w:charSpace="0"/>
        </w:sectPr>
      </w:pPr>
      <w:r>
        <w:rPr>
          <w:rFonts w:hint="eastAsia" w:eastAsia="宋体"/>
          <w:lang w:eastAsia="zh-CN"/>
        </w:rPr>
        <w:drawing>
          <wp:inline distT="0" distB="0" distL="114300" distR="114300">
            <wp:extent cx="5975350" cy="8512175"/>
            <wp:effectExtent l="0" t="0" r="6350" b="3175"/>
            <wp:docPr id="63" name="图片 63" descr="2024040007-山东德勤智能设备有限公司(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4040007-山东德勤智能设备有限公司(1)_00"/>
                    <pic:cNvPicPr>
                      <a:picLocks noChangeAspect="1"/>
                    </pic:cNvPicPr>
                  </pic:nvPicPr>
                  <pic:blipFill>
                    <a:blip r:embed="rId89"/>
                    <a:stretch>
                      <a:fillRect/>
                    </a:stretch>
                  </pic:blipFill>
                  <pic:spPr>
                    <a:xfrm>
                      <a:off x="0" y="0"/>
                      <a:ext cx="5975350" cy="8512175"/>
                    </a:xfrm>
                    <a:prstGeom prst="rect">
                      <a:avLst/>
                    </a:prstGeom>
                  </pic:spPr>
                </pic:pic>
              </a:graphicData>
            </a:graphic>
          </wp:inline>
        </w:drawing>
      </w:r>
      <w:r>
        <w:rPr>
          <w:rFonts w:hint="eastAsia" w:eastAsia="宋体"/>
          <w:lang w:eastAsia="zh-CN"/>
        </w:rPr>
        <w:drawing>
          <wp:inline distT="0" distB="0" distL="114300" distR="114300">
            <wp:extent cx="5975350" cy="8512175"/>
            <wp:effectExtent l="0" t="0" r="6350" b="3175"/>
            <wp:docPr id="62" name="图片 62" descr="2024040007-山东德勤智能设备有限公司(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4040007-山东德勤智能设备有限公司(1)_01"/>
                    <pic:cNvPicPr>
                      <a:picLocks noChangeAspect="1"/>
                    </pic:cNvPicPr>
                  </pic:nvPicPr>
                  <pic:blipFill>
                    <a:blip r:embed="rId90"/>
                    <a:stretch>
                      <a:fillRect/>
                    </a:stretch>
                  </pic:blipFill>
                  <pic:spPr>
                    <a:xfrm>
                      <a:off x="0" y="0"/>
                      <a:ext cx="5975350" cy="8512175"/>
                    </a:xfrm>
                    <a:prstGeom prst="rect">
                      <a:avLst/>
                    </a:prstGeom>
                  </pic:spPr>
                </pic:pic>
              </a:graphicData>
            </a:graphic>
          </wp:inline>
        </w:drawing>
      </w:r>
      <w:r>
        <w:rPr>
          <w:rFonts w:hint="eastAsia" w:eastAsia="宋体"/>
          <w:lang w:eastAsia="zh-CN"/>
        </w:rPr>
        <w:drawing>
          <wp:inline distT="0" distB="0" distL="114300" distR="114300">
            <wp:extent cx="5975350" cy="8516620"/>
            <wp:effectExtent l="0" t="0" r="6350" b="17780"/>
            <wp:docPr id="61" name="图片 61" descr="2024040007-山东德勤智能设备有限公司(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24040007-山东德勤智能设备有限公司(1)_02"/>
                    <pic:cNvPicPr>
                      <a:picLocks noChangeAspect="1"/>
                    </pic:cNvPicPr>
                  </pic:nvPicPr>
                  <pic:blipFill>
                    <a:blip r:embed="rId91"/>
                    <a:stretch>
                      <a:fillRect/>
                    </a:stretch>
                  </pic:blipFill>
                  <pic:spPr>
                    <a:xfrm>
                      <a:off x="0" y="0"/>
                      <a:ext cx="5975350" cy="8516620"/>
                    </a:xfrm>
                    <a:prstGeom prst="rect">
                      <a:avLst/>
                    </a:prstGeom>
                  </pic:spPr>
                </pic:pic>
              </a:graphicData>
            </a:graphic>
          </wp:inline>
        </w:drawing>
      </w:r>
      <w:r>
        <w:rPr>
          <w:rFonts w:hint="eastAsia" w:eastAsia="宋体"/>
          <w:lang w:eastAsia="zh-CN"/>
        </w:rPr>
        <w:drawing>
          <wp:inline distT="0" distB="0" distL="114300" distR="114300">
            <wp:extent cx="5971540" cy="8494395"/>
            <wp:effectExtent l="0" t="0" r="10160" b="1905"/>
            <wp:docPr id="60" name="图片 60" descr="2024040007-山东德勤智能设备有限公司(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4040007-山东德勤智能设备有限公司(1)_03"/>
                    <pic:cNvPicPr>
                      <a:picLocks noChangeAspect="1"/>
                    </pic:cNvPicPr>
                  </pic:nvPicPr>
                  <pic:blipFill>
                    <a:blip r:embed="rId92"/>
                    <a:stretch>
                      <a:fillRect/>
                    </a:stretch>
                  </pic:blipFill>
                  <pic:spPr>
                    <a:xfrm>
                      <a:off x="0" y="0"/>
                      <a:ext cx="5971540" cy="8494395"/>
                    </a:xfrm>
                    <a:prstGeom prst="rect">
                      <a:avLst/>
                    </a:prstGeom>
                  </pic:spPr>
                </pic:pic>
              </a:graphicData>
            </a:graphic>
          </wp:inline>
        </w:drawing>
      </w:r>
      <w:r>
        <w:rPr>
          <w:rFonts w:hint="eastAsia" w:eastAsia="宋体"/>
          <w:lang w:eastAsia="zh-CN"/>
        </w:rPr>
        <w:drawing>
          <wp:inline distT="0" distB="0" distL="114300" distR="114300">
            <wp:extent cx="5975350" cy="8512175"/>
            <wp:effectExtent l="0" t="0" r="6350" b="3175"/>
            <wp:docPr id="59" name="图片 59" descr="2024040007-山东德勤智能设备有限公司(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24040007-山东德勤智能设备有限公司(1)_04"/>
                    <pic:cNvPicPr>
                      <a:picLocks noChangeAspect="1"/>
                    </pic:cNvPicPr>
                  </pic:nvPicPr>
                  <pic:blipFill>
                    <a:blip r:embed="rId93"/>
                    <a:stretch>
                      <a:fillRect/>
                    </a:stretch>
                  </pic:blipFill>
                  <pic:spPr>
                    <a:xfrm>
                      <a:off x="0" y="0"/>
                      <a:ext cx="5975350" cy="8512175"/>
                    </a:xfrm>
                    <a:prstGeom prst="rect">
                      <a:avLst/>
                    </a:prstGeom>
                  </pic:spPr>
                </pic:pic>
              </a:graphicData>
            </a:graphic>
          </wp:inline>
        </w:drawing>
      </w:r>
      <w:r>
        <w:rPr>
          <w:rFonts w:hint="eastAsia" w:eastAsia="宋体"/>
          <w:lang w:eastAsia="zh-CN"/>
        </w:rPr>
        <w:drawing>
          <wp:inline distT="0" distB="0" distL="114300" distR="114300">
            <wp:extent cx="5971540" cy="8501380"/>
            <wp:effectExtent l="0" t="0" r="10160" b="13970"/>
            <wp:docPr id="58" name="图片 58" descr="2024040007-山东德勤智能设备有限公司(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24040007-山东德勤智能设备有限公司(1)_05"/>
                    <pic:cNvPicPr>
                      <a:picLocks noChangeAspect="1"/>
                    </pic:cNvPicPr>
                  </pic:nvPicPr>
                  <pic:blipFill>
                    <a:blip r:embed="rId94"/>
                    <a:stretch>
                      <a:fillRect/>
                    </a:stretch>
                  </pic:blipFill>
                  <pic:spPr>
                    <a:xfrm>
                      <a:off x="0" y="0"/>
                      <a:ext cx="5971540" cy="8501380"/>
                    </a:xfrm>
                    <a:prstGeom prst="rect">
                      <a:avLst/>
                    </a:prstGeom>
                  </pic:spPr>
                </pic:pic>
              </a:graphicData>
            </a:graphic>
          </wp:inline>
        </w:drawing>
      </w:r>
      <w:r>
        <w:rPr>
          <w:rFonts w:hint="eastAsia" w:eastAsia="宋体"/>
          <w:lang w:eastAsia="zh-CN"/>
        </w:rPr>
        <w:drawing>
          <wp:inline distT="0" distB="0" distL="114300" distR="114300">
            <wp:extent cx="5972175" cy="8502015"/>
            <wp:effectExtent l="0" t="0" r="9525" b="13335"/>
            <wp:docPr id="57" name="图片 57" descr="2024040007-山东德勤智能设备有限公司(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024040007-山东德勤智能设备有限公司(1)_06"/>
                    <pic:cNvPicPr>
                      <a:picLocks noChangeAspect="1"/>
                    </pic:cNvPicPr>
                  </pic:nvPicPr>
                  <pic:blipFill>
                    <a:blip r:embed="rId95"/>
                    <a:stretch>
                      <a:fillRect/>
                    </a:stretch>
                  </pic:blipFill>
                  <pic:spPr>
                    <a:xfrm>
                      <a:off x="0" y="0"/>
                      <a:ext cx="5972175" cy="8502015"/>
                    </a:xfrm>
                    <a:prstGeom prst="rect">
                      <a:avLst/>
                    </a:prstGeom>
                  </pic:spPr>
                </pic:pic>
              </a:graphicData>
            </a:graphic>
          </wp:inline>
        </w:drawing>
      </w:r>
      <w:r>
        <w:rPr>
          <w:rFonts w:hint="eastAsia" w:eastAsia="宋体"/>
          <w:lang w:eastAsia="zh-CN"/>
        </w:rPr>
        <w:drawing>
          <wp:inline distT="0" distB="0" distL="114300" distR="114300">
            <wp:extent cx="5975350" cy="8483600"/>
            <wp:effectExtent l="0" t="0" r="6350" b="12700"/>
            <wp:docPr id="56" name="图片 56" descr="2024040007-山东德勤智能设备有限公司(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24040007-山东德勤智能设备有限公司(1)_07"/>
                    <pic:cNvPicPr>
                      <a:picLocks noChangeAspect="1"/>
                    </pic:cNvPicPr>
                  </pic:nvPicPr>
                  <pic:blipFill>
                    <a:blip r:embed="rId96"/>
                    <a:stretch>
                      <a:fillRect/>
                    </a:stretch>
                  </pic:blipFill>
                  <pic:spPr>
                    <a:xfrm>
                      <a:off x="0" y="0"/>
                      <a:ext cx="5975350" cy="8483600"/>
                    </a:xfrm>
                    <a:prstGeom prst="rect">
                      <a:avLst/>
                    </a:prstGeom>
                  </pic:spPr>
                </pic:pic>
              </a:graphicData>
            </a:graphic>
          </wp:inline>
        </w:drawing>
      </w:r>
      <w:r>
        <w:rPr>
          <w:rFonts w:hint="eastAsia" w:eastAsia="宋体"/>
          <w:lang w:eastAsia="zh-CN"/>
        </w:rPr>
        <w:drawing>
          <wp:inline distT="0" distB="0" distL="114300" distR="114300">
            <wp:extent cx="5975350" cy="8509000"/>
            <wp:effectExtent l="0" t="0" r="6350" b="6350"/>
            <wp:docPr id="55" name="图片 55" descr="2024040007-山东德勤智能设备有限公司(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24040007-山东德勤智能设备有限公司(1)_08"/>
                    <pic:cNvPicPr>
                      <a:picLocks noChangeAspect="1"/>
                    </pic:cNvPicPr>
                  </pic:nvPicPr>
                  <pic:blipFill>
                    <a:blip r:embed="rId97"/>
                    <a:stretch>
                      <a:fillRect/>
                    </a:stretch>
                  </pic:blipFill>
                  <pic:spPr>
                    <a:xfrm>
                      <a:off x="0" y="0"/>
                      <a:ext cx="5975350" cy="8509000"/>
                    </a:xfrm>
                    <a:prstGeom prst="rect">
                      <a:avLst/>
                    </a:prstGeom>
                  </pic:spPr>
                </pic:pic>
              </a:graphicData>
            </a:graphic>
          </wp:inline>
        </w:drawing>
      </w:r>
      <w:r>
        <w:rPr>
          <w:rFonts w:hint="eastAsia" w:eastAsia="宋体"/>
          <w:lang w:eastAsia="zh-CN"/>
        </w:rPr>
        <w:drawing>
          <wp:inline distT="0" distB="0" distL="114300" distR="114300">
            <wp:extent cx="5971540" cy="8491220"/>
            <wp:effectExtent l="0" t="0" r="10160" b="5080"/>
            <wp:docPr id="54" name="图片 54" descr="2024040007-山东德勤智能设备有限公司(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24040007-山东德勤智能设备有限公司(1)_09"/>
                    <pic:cNvPicPr>
                      <a:picLocks noChangeAspect="1"/>
                    </pic:cNvPicPr>
                  </pic:nvPicPr>
                  <pic:blipFill>
                    <a:blip r:embed="rId98"/>
                    <a:stretch>
                      <a:fillRect/>
                    </a:stretch>
                  </pic:blipFill>
                  <pic:spPr>
                    <a:xfrm>
                      <a:off x="0" y="0"/>
                      <a:ext cx="5971540" cy="8491220"/>
                    </a:xfrm>
                    <a:prstGeom prst="rect">
                      <a:avLst/>
                    </a:prstGeom>
                  </pic:spPr>
                </pic:pic>
              </a:graphicData>
            </a:graphic>
          </wp:inline>
        </w:drawing>
      </w:r>
      <w:r>
        <w:rPr>
          <w:rFonts w:hint="eastAsia" w:eastAsia="宋体"/>
          <w:lang w:eastAsia="zh-CN"/>
        </w:rPr>
        <w:drawing>
          <wp:inline distT="0" distB="0" distL="114300" distR="114300">
            <wp:extent cx="5972175" cy="8509000"/>
            <wp:effectExtent l="0" t="0" r="9525" b="6350"/>
            <wp:docPr id="53" name="图片 53" descr="2024040007-山东德勤智能设备有限公司(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24040007-山东德勤智能设备有限公司(1)_10"/>
                    <pic:cNvPicPr>
                      <a:picLocks noChangeAspect="1"/>
                    </pic:cNvPicPr>
                  </pic:nvPicPr>
                  <pic:blipFill>
                    <a:blip r:embed="rId99"/>
                    <a:stretch>
                      <a:fillRect/>
                    </a:stretch>
                  </pic:blipFill>
                  <pic:spPr>
                    <a:xfrm>
                      <a:off x="0" y="0"/>
                      <a:ext cx="5972175" cy="8509000"/>
                    </a:xfrm>
                    <a:prstGeom prst="rect">
                      <a:avLst/>
                    </a:prstGeom>
                  </pic:spPr>
                </pic:pic>
              </a:graphicData>
            </a:graphic>
          </wp:inline>
        </w:drawing>
      </w:r>
    </w:p>
    <w:p>
      <w:pPr>
        <w:pStyle w:val="4"/>
      </w:pPr>
      <w:bookmarkStart w:id="1314" w:name="_Toc29634"/>
      <w:r>
        <w:t>附件</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 xml:space="preserve"> </w:t>
      </w:r>
      <w:r>
        <w:t>验收意见及验收工作组签字表</w:t>
      </w:r>
      <w:bookmarkEnd w:id="1313"/>
      <w:bookmarkEnd w:id="1314"/>
    </w:p>
    <w:p>
      <w:pPr>
        <w:ind w:firstLine="0" w:firstLineChars="0"/>
        <w:jc w:val="center"/>
        <w:rPr>
          <w:rFonts w:hint="eastAsia" w:eastAsia="宋体"/>
          <w:highlight w:val="red"/>
          <w:lang w:eastAsia="zh-CN"/>
        </w:rPr>
      </w:pPr>
      <w:r>
        <w:rPr>
          <w:rFonts w:hint="eastAsia" w:eastAsia="宋体"/>
          <w:highlight w:val="none"/>
          <w:lang w:eastAsia="zh-CN"/>
        </w:rPr>
        <w:drawing>
          <wp:inline distT="0" distB="0" distL="114300" distR="114300">
            <wp:extent cx="5970905" cy="8446770"/>
            <wp:effectExtent l="0" t="0" r="10795" b="11430"/>
            <wp:docPr id="73" name="图片 73" descr="验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验收意见_01"/>
                    <pic:cNvPicPr>
                      <a:picLocks noChangeAspect="1"/>
                    </pic:cNvPicPr>
                  </pic:nvPicPr>
                  <pic:blipFill>
                    <a:blip r:embed="rId100"/>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72" name="图片 72" descr="验收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验收意见_02"/>
                    <pic:cNvPicPr>
                      <a:picLocks noChangeAspect="1"/>
                    </pic:cNvPicPr>
                  </pic:nvPicPr>
                  <pic:blipFill>
                    <a:blip r:embed="rId101"/>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71" name="图片 71" descr="验收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验收意见_03"/>
                    <pic:cNvPicPr>
                      <a:picLocks noChangeAspect="1"/>
                    </pic:cNvPicPr>
                  </pic:nvPicPr>
                  <pic:blipFill>
                    <a:blip r:embed="rId102"/>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70" name="图片 70" descr="验收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验收意见_04"/>
                    <pic:cNvPicPr>
                      <a:picLocks noChangeAspect="1"/>
                    </pic:cNvPicPr>
                  </pic:nvPicPr>
                  <pic:blipFill>
                    <a:blip r:embed="rId103"/>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69" name="图片 69" descr="验收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验收意见_05"/>
                    <pic:cNvPicPr>
                      <a:picLocks noChangeAspect="1"/>
                    </pic:cNvPicPr>
                  </pic:nvPicPr>
                  <pic:blipFill>
                    <a:blip r:embed="rId104"/>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68" name="图片 68" descr="验收意见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验收意见_06"/>
                    <pic:cNvPicPr>
                      <a:picLocks noChangeAspect="1"/>
                    </pic:cNvPicPr>
                  </pic:nvPicPr>
                  <pic:blipFill>
                    <a:blip r:embed="rId105"/>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67" name="图片 67" descr="验收意见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验收意见_07"/>
                    <pic:cNvPicPr>
                      <a:picLocks noChangeAspect="1"/>
                    </pic:cNvPicPr>
                  </pic:nvPicPr>
                  <pic:blipFill>
                    <a:blip r:embed="rId106"/>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5970905" cy="8446770"/>
            <wp:effectExtent l="0" t="0" r="10795" b="11430"/>
            <wp:docPr id="66" name="图片 66" descr="验收意见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验收意见_08"/>
                    <pic:cNvPicPr>
                      <a:picLocks noChangeAspect="1"/>
                    </pic:cNvPicPr>
                  </pic:nvPicPr>
                  <pic:blipFill>
                    <a:blip r:embed="rId107"/>
                    <a:stretch>
                      <a:fillRect/>
                    </a:stretch>
                  </pic:blipFill>
                  <pic:spPr>
                    <a:xfrm>
                      <a:off x="0" y="0"/>
                      <a:ext cx="5970905" cy="8446770"/>
                    </a:xfrm>
                    <a:prstGeom prst="rect">
                      <a:avLst/>
                    </a:prstGeom>
                  </pic:spPr>
                </pic:pic>
              </a:graphicData>
            </a:graphic>
          </wp:inline>
        </w:drawing>
      </w:r>
      <w:r>
        <w:rPr>
          <w:rFonts w:hint="eastAsia" w:eastAsia="宋体"/>
          <w:highlight w:val="none"/>
          <w:lang w:eastAsia="zh-CN"/>
        </w:rPr>
        <w:drawing>
          <wp:inline distT="0" distB="0" distL="114300" distR="114300">
            <wp:extent cx="7945755" cy="5619115"/>
            <wp:effectExtent l="0" t="0" r="635" b="17145"/>
            <wp:docPr id="65" name="图片 65" descr="德勤项目专家签名页(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德勤项目专家签名页(3)(1)_00"/>
                    <pic:cNvPicPr>
                      <a:picLocks noChangeAspect="1"/>
                    </pic:cNvPicPr>
                  </pic:nvPicPr>
                  <pic:blipFill>
                    <a:blip r:embed="rId108"/>
                    <a:stretch>
                      <a:fillRect/>
                    </a:stretch>
                  </pic:blipFill>
                  <pic:spPr>
                    <a:xfrm rot="16200000">
                      <a:off x="0" y="0"/>
                      <a:ext cx="7945755" cy="5619115"/>
                    </a:xfrm>
                    <a:prstGeom prst="rect">
                      <a:avLst/>
                    </a:prstGeom>
                  </pic:spPr>
                </pic:pic>
              </a:graphicData>
            </a:graphic>
          </wp:inline>
        </w:drawing>
      </w:r>
    </w:p>
    <w:p>
      <w:pPr>
        <w:pStyle w:val="3"/>
      </w:pPr>
      <w:bookmarkStart w:id="1315" w:name="_Toc18788"/>
      <w:bookmarkStart w:id="1316" w:name="_Toc24675"/>
      <w:bookmarkStart w:id="1317" w:name="_Toc14707"/>
      <w:bookmarkStart w:id="1318" w:name="_Toc32120"/>
      <w:bookmarkStart w:id="1319" w:name="_Toc24804"/>
      <w:bookmarkStart w:id="1320" w:name="_Toc2646"/>
      <w:bookmarkStart w:id="1321" w:name="_Toc7473"/>
      <w:r>
        <w:t>其他需要说明的问题</w:t>
      </w:r>
      <w:bookmarkEnd w:id="1315"/>
      <w:bookmarkEnd w:id="1316"/>
      <w:bookmarkEnd w:id="1317"/>
      <w:bookmarkEnd w:id="1318"/>
      <w:bookmarkEnd w:id="1319"/>
      <w:bookmarkEnd w:id="1320"/>
      <w:bookmarkEnd w:id="1321"/>
    </w:p>
    <w:p>
      <w:pPr>
        <w:pStyle w:val="4"/>
      </w:pPr>
      <w:bookmarkStart w:id="1322" w:name="_Toc7450"/>
      <w:bookmarkStart w:id="1323" w:name="_Toc7267"/>
      <w:bookmarkStart w:id="1324" w:name="_Toc13241"/>
      <w:bookmarkStart w:id="1325" w:name="_Toc31200"/>
      <w:bookmarkStart w:id="1326" w:name="_Toc19174"/>
      <w:bookmarkStart w:id="1327" w:name="_Toc18104"/>
      <w:bookmarkStart w:id="1328" w:name="_Toc29833"/>
      <w:bookmarkStart w:id="1329" w:name="_Toc559_WPSOffice_Level1"/>
      <w:bookmarkStart w:id="1330" w:name="_Toc29142"/>
      <w:bookmarkStart w:id="1331" w:name="_Toc10142"/>
      <w:bookmarkStart w:id="1332" w:name="_Toc6271"/>
      <w:r>
        <w:t>1 环境保护设施设计、施工和验收过程简况</w:t>
      </w:r>
      <w:bookmarkEnd w:id="1322"/>
      <w:bookmarkEnd w:id="1323"/>
      <w:bookmarkEnd w:id="1324"/>
      <w:bookmarkEnd w:id="1325"/>
      <w:bookmarkEnd w:id="1326"/>
      <w:bookmarkEnd w:id="1327"/>
      <w:bookmarkEnd w:id="1328"/>
      <w:bookmarkEnd w:id="1329"/>
      <w:bookmarkEnd w:id="1330"/>
      <w:bookmarkEnd w:id="1331"/>
      <w:bookmarkEnd w:id="1332"/>
    </w:p>
    <w:p>
      <w:pPr>
        <w:pStyle w:val="5"/>
      </w:pPr>
      <w:bookmarkStart w:id="1333" w:name="_Toc11738"/>
      <w:bookmarkStart w:id="1334" w:name="_Toc26296"/>
      <w:bookmarkStart w:id="1335" w:name="_Toc7348_WPSOffice_Level2"/>
      <w:r>
        <w:t>1.1 设计简况</w:t>
      </w:r>
      <w:bookmarkEnd w:id="1333"/>
      <w:bookmarkEnd w:id="1334"/>
      <w:bookmarkEnd w:id="1335"/>
    </w:p>
    <w:p>
      <w:pPr>
        <w:pStyle w:val="10"/>
        <w:spacing w:line="500" w:lineRule="exact"/>
        <w:ind w:firstLine="480"/>
      </w:pPr>
      <w:r>
        <w:t>本项目的设计</w:t>
      </w:r>
      <w:r>
        <w:rPr>
          <w:rFonts w:hint="eastAsia"/>
        </w:rPr>
        <w:t>过程中已将</w:t>
      </w:r>
      <w:r>
        <w:t>环境保护设施纳入了项目申请报告及设计中，环境保护设施的设计符合环境保护设计规范的要求，并编制了环境保护篇章，落实了防治污染和生态破环的措施以及环境保护设施投资概算。</w:t>
      </w:r>
    </w:p>
    <w:p>
      <w:pPr>
        <w:pStyle w:val="5"/>
      </w:pPr>
      <w:bookmarkStart w:id="1336" w:name="_Toc17331"/>
      <w:bookmarkStart w:id="1337" w:name="_Toc18323"/>
      <w:bookmarkStart w:id="1338" w:name="_Toc3878_WPSOffice_Level2"/>
      <w:r>
        <w:t>1.2 施工简况</w:t>
      </w:r>
      <w:bookmarkEnd w:id="1336"/>
      <w:bookmarkEnd w:id="1337"/>
      <w:bookmarkEnd w:id="1338"/>
    </w:p>
    <w:p>
      <w:pPr>
        <w:ind w:firstLine="480"/>
      </w:pPr>
      <w:r>
        <w:t>在项目建设过程中组织落实了环境影响报告表及其审批部门审批决定中提出的环境保护对策措施及工程防渗要求。</w:t>
      </w:r>
      <w:bookmarkStart w:id="1339" w:name="_Toc20141_WPSOffice_Level2"/>
    </w:p>
    <w:p>
      <w:pPr>
        <w:pStyle w:val="5"/>
      </w:pPr>
      <w:bookmarkStart w:id="1340" w:name="_Toc9498"/>
      <w:bookmarkStart w:id="1341" w:name="_Toc14959"/>
      <w:r>
        <w:t>1.3 验收过程简况</w:t>
      </w:r>
      <w:bookmarkEnd w:id="1339"/>
      <w:bookmarkEnd w:id="1340"/>
      <w:bookmarkEnd w:id="1341"/>
    </w:p>
    <w:p>
      <w:pPr>
        <w:ind w:firstLine="480"/>
        <w:rPr>
          <w:highlight w:val="red"/>
        </w:rPr>
      </w:pPr>
      <w:r>
        <w:t>202</w:t>
      </w:r>
      <w:r>
        <w:rPr>
          <w:rFonts w:hint="eastAsia"/>
        </w:rPr>
        <w:t>2</w:t>
      </w:r>
      <w:r>
        <w:t>年</w:t>
      </w:r>
      <w:r>
        <w:rPr>
          <w:rFonts w:hint="eastAsia"/>
        </w:rPr>
        <w:t>3</w:t>
      </w:r>
      <w:r>
        <w:t>月，</w:t>
      </w:r>
      <w:r>
        <w:rPr>
          <w:rFonts w:hint="eastAsia"/>
        </w:rPr>
        <w:t>山东德勤智能设备有限公司</w:t>
      </w:r>
      <w:r>
        <w:t>委托</w:t>
      </w:r>
      <w:r>
        <w:rPr>
          <w:rFonts w:hint="eastAsia"/>
        </w:rPr>
        <w:t>山东益源环保科技有限公司</w:t>
      </w:r>
      <w:r>
        <w:t>编制《</w:t>
      </w:r>
      <w:r>
        <w:rPr>
          <w:rFonts w:hint="eastAsia"/>
        </w:rPr>
        <w:t>山东德勤智能设备有限公司智能木业机械设备制造项目</w:t>
      </w:r>
      <w:r>
        <w:t>环境影响报告表》；202</w:t>
      </w:r>
      <w:r>
        <w:rPr>
          <w:rFonts w:hint="eastAsia"/>
        </w:rPr>
        <w:t>3</w:t>
      </w:r>
      <w:r>
        <w:t>年</w:t>
      </w:r>
      <w:r>
        <w:rPr>
          <w:rFonts w:hint="eastAsia"/>
        </w:rPr>
        <w:t>2</w:t>
      </w:r>
      <w:r>
        <w:t>月1</w:t>
      </w:r>
      <w:r>
        <w:rPr>
          <w:rFonts w:hint="eastAsia"/>
        </w:rPr>
        <w:t>3</w:t>
      </w:r>
      <w:r>
        <w:t>日，枣庄市生态环境局峄城分局以枣环峄审字[202</w:t>
      </w:r>
      <w:r>
        <w:rPr>
          <w:rFonts w:hint="eastAsia"/>
        </w:rPr>
        <w:t>3</w:t>
      </w:r>
      <w:r>
        <w:t>]</w:t>
      </w:r>
      <w:r>
        <w:rPr>
          <w:rFonts w:hint="eastAsia"/>
        </w:rPr>
        <w:t>04</w:t>
      </w:r>
      <w:r>
        <w:t>号予以批复。202</w:t>
      </w:r>
      <w:r>
        <w:rPr>
          <w:rFonts w:hint="eastAsia"/>
        </w:rPr>
        <w:t>3</w:t>
      </w:r>
      <w:r>
        <w:t>年</w:t>
      </w:r>
      <w:r>
        <w:rPr>
          <w:rFonts w:hint="eastAsia"/>
        </w:rPr>
        <w:t>3</w:t>
      </w:r>
      <w:r>
        <w:t>月起，</w:t>
      </w:r>
      <w:r>
        <w:rPr>
          <w:rFonts w:hint="eastAsia"/>
        </w:rPr>
        <w:t>山东德勤智能设备有限公司</w:t>
      </w:r>
      <w:r>
        <w:t>开工建设，购置激光切割机、全自动激光除锈机、智能切割机、智能焊接机器人等设备等设备；202</w:t>
      </w:r>
      <w:r>
        <w:rPr>
          <w:rFonts w:hint="eastAsia"/>
        </w:rPr>
        <w:t>3</w:t>
      </w:r>
      <w:r>
        <w:t>年</w:t>
      </w:r>
      <w:r>
        <w:rPr>
          <w:rFonts w:hint="eastAsia"/>
        </w:rPr>
        <w:t>10</w:t>
      </w:r>
      <w:r>
        <w:t>月中旬，完成</w:t>
      </w:r>
      <w:r>
        <w:rPr>
          <w:rFonts w:hint="eastAsia"/>
        </w:rPr>
        <w:t>项目</w:t>
      </w:r>
      <w:r>
        <w:t>主体工程及配套储运、环保工程建设</w:t>
      </w:r>
      <w:r>
        <w:rPr>
          <w:rFonts w:hint="eastAsia"/>
        </w:rPr>
        <w:t>，2023年11月项目进行试生产，2023年12月开始工程竣工环境保护验收监测报告编制工作。</w:t>
      </w:r>
      <w:r>
        <w:t>于202</w:t>
      </w:r>
      <w:r>
        <w:rPr>
          <w:rFonts w:hint="eastAsia"/>
        </w:rPr>
        <w:t>3</w:t>
      </w:r>
      <w:r>
        <w:t>年</w:t>
      </w:r>
      <w:r>
        <w:rPr>
          <w:rFonts w:hint="eastAsia"/>
        </w:rPr>
        <w:t>12</w:t>
      </w:r>
      <w:r>
        <w:t>月</w:t>
      </w:r>
      <w:r>
        <w:rPr>
          <w:rFonts w:hint="eastAsia"/>
        </w:rPr>
        <w:t>1</w:t>
      </w:r>
      <w:r>
        <w:t>3日~</w:t>
      </w:r>
      <w:r>
        <w:rPr>
          <w:rFonts w:hint="eastAsia"/>
        </w:rPr>
        <w:t>1</w:t>
      </w:r>
      <w:r>
        <w:t>5日委托</w:t>
      </w:r>
      <w:r>
        <w:rPr>
          <w:rFonts w:hint="eastAsia"/>
        </w:rPr>
        <w:t>山东信泽环境检测有限公司对项目</w:t>
      </w:r>
      <w:r>
        <w:t>进行了</w:t>
      </w:r>
      <w:r>
        <w:rPr>
          <w:rFonts w:hint="eastAsia"/>
        </w:rPr>
        <w:t>废气、噪声、环境空气的</w:t>
      </w:r>
      <w:r>
        <w:t>检测</w:t>
      </w:r>
      <w:r>
        <w:rPr>
          <w:rFonts w:hint="eastAsia"/>
        </w:rPr>
        <w:t>，因生产时间短，化粪池内的生活污水量较少，于2024年2月28日</w:t>
      </w:r>
      <w:r>
        <w:t>~</w:t>
      </w:r>
      <w:r>
        <w:rPr>
          <w:rFonts w:hint="eastAsia"/>
        </w:rPr>
        <w:t>29</w:t>
      </w:r>
      <w:r>
        <w:t>日</w:t>
      </w:r>
      <w:r>
        <w:rPr>
          <w:rFonts w:hint="eastAsia"/>
        </w:rPr>
        <w:t>对项目产生的生活污水进行检测</w:t>
      </w:r>
      <w:r>
        <w:t>。。</w:t>
      </w:r>
    </w:p>
    <w:p>
      <w:pPr>
        <w:ind w:firstLine="480"/>
      </w:pPr>
      <w:r>
        <w:rPr>
          <w:rFonts w:hint="eastAsia"/>
        </w:rPr>
        <w:t>2024年0</w:t>
      </w:r>
      <w:r>
        <w:rPr>
          <w:rFonts w:hint="eastAsia"/>
          <w:lang w:val="en-US" w:eastAsia="zh-CN"/>
        </w:rPr>
        <w:t>3</w:t>
      </w:r>
      <w:r>
        <w:rPr>
          <w:rFonts w:hint="eastAsia"/>
        </w:rPr>
        <w:t>月，山东德勤智能设备有限公司</w:t>
      </w:r>
      <w:r>
        <w:t>按照国家有关规范和环保局的管理要求、资料及提出的编写意见，编制完成此环境保护验收监测报告。</w:t>
      </w:r>
    </w:p>
    <w:p>
      <w:pPr>
        <w:ind w:firstLine="480"/>
      </w:pPr>
      <w:r>
        <w:t>2</w:t>
      </w:r>
      <w:r>
        <w:rPr>
          <w:highlight w:val="none"/>
        </w:rPr>
        <w:t>02</w:t>
      </w:r>
      <w:r>
        <w:rPr>
          <w:rFonts w:hint="eastAsia"/>
          <w:highlight w:val="none"/>
        </w:rPr>
        <w:t>4</w:t>
      </w:r>
      <w:r>
        <w:rPr>
          <w:highlight w:val="none"/>
        </w:rPr>
        <w:t>年</w:t>
      </w:r>
      <w:r>
        <w:rPr>
          <w:rFonts w:hint="eastAsia"/>
          <w:highlight w:val="none"/>
        </w:rPr>
        <w:t>3</w:t>
      </w:r>
      <w:r>
        <w:rPr>
          <w:highlight w:val="none"/>
        </w:rPr>
        <w:t>月1</w:t>
      </w:r>
      <w:r>
        <w:rPr>
          <w:rFonts w:hint="eastAsia"/>
          <w:highlight w:val="none"/>
          <w:lang w:val="en-US" w:eastAsia="zh-CN"/>
        </w:rPr>
        <w:t>7</w:t>
      </w:r>
      <w:r>
        <w:rPr>
          <w:highlight w:val="none"/>
        </w:rPr>
        <w:t>日，</w:t>
      </w:r>
      <w:r>
        <w:rPr>
          <w:rFonts w:hint="eastAsia"/>
          <w:highlight w:val="none"/>
        </w:rPr>
        <w:t>山东德勤智能设备有限公司</w:t>
      </w:r>
      <w:r>
        <w:rPr>
          <w:highlight w:val="none"/>
        </w:rPr>
        <w:t>在峄城区组织召开了其</w:t>
      </w:r>
      <w:r>
        <w:rPr>
          <w:rFonts w:hint="eastAsia"/>
          <w:highlight w:val="none"/>
        </w:rPr>
        <w:t>智能木业机械设备制造项目</w:t>
      </w:r>
      <w:r>
        <w:rPr>
          <w:highlight w:val="none"/>
        </w:rPr>
        <w:t>竣工环境保护验收会议，依照国家有关法律法规、《建设项目竣工环境保护验收暂行办法》《建设项目竣工环境保护验收技术指南 污染影响类》之规定，并对照项目环境影响报告表及环评批复等要求对本项目进行验收，提出意见，验收合格。报告编制人员针对验收意见提出的整改要求进行了整改及报告的完善，于202</w:t>
      </w:r>
      <w:r>
        <w:rPr>
          <w:rFonts w:hint="eastAsia"/>
          <w:highlight w:val="none"/>
        </w:rPr>
        <w:t>4</w:t>
      </w:r>
      <w:r>
        <w:rPr>
          <w:highlight w:val="none"/>
        </w:rPr>
        <w:t>年</w:t>
      </w:r>
      <w:r>
        <w:rPr>
          <w:rFonts w:hint="eastAsia"/>
          <w:highlight w:val="none"/>
          <w:lang w:val="en-US" w:eastAsia="zh-CN"/>
        </w:rPr>
        <w:t>3</w:t>
      </w:r>
      <w:r>
        <w:rPr>
          <w:highlight w:val="none"/>
        </w:rPr>
        <w:t>月</w:t>
      </w:r>
      <w:r>
        <w:rPr>
          <w:rFonts w:hint="eastAsia"/>
          <w:highlight w:val="none"/>
          <w:lang w:val="en-US" w:eastAsia="zh-CN"/>
        </w:rPr>
        <w:t>20</w:t>
      </w:r>
      <w:r>
        <w:rPr>
          <w:highlight w:val="none"/>
        </w:rPr>
        <w:t>日-202</w:t>
      </w:r>
      <w:r>
        <w:rPr>
          <w:rFonts w:hint="eastAsia"/>
          <w:highlight w:val="none"/>
        </w:rPr>
        <w:t>4</w:t>
      </w:r>
      <w:r>
        <w:rPr>
          <w:highlight w:val="none"/>
        </w:rPr>
        <w:t>年</w:t>
      </w:r>
      <w:r>
        <w:rPr>
          <w:rFonts w:hint="eastAsia"/>
          <w:highlight w:val="none"/>
          <w:lang w:val="en-US" w:eastAsia="zh-CN"/>
        </w:rPr>
        <w:t>4</w:t>
      </w:r>
      <w:r>
        <w:t>月</w:t>
      </w:r>
      <w:r>
        <w:rPr>
          <w:rFonts w:hint="eastAsia"/>
          <w:lang w:val="en-US" w:eastAsia="zh-CN"/>
        </w:rPr>
        <w:t>17</w:t>
      </w:r>
      <w:r>
        <w:t>日进行网上公示（20个工作日）。</w:t>
      </w:r>
    </w:p>
    <w:p>
      <w:pPr>
        <w:ind w:firstLine="480"/>
      </w:pPr>
    </w:p>
    <w:p>
      <w:pPr>
        <w:pStyle w:val="5"/>
      </w:pPr>
      <w:bookmarkStart w:id="1342" w:name="_Toc559_WPSOffice_Level2"/>
      <w:bookmarkStart w:id="1343" w:name="_Toc30195"/>
      <w:bookmarkStart w:id="1344" w:name="_Toc7951"/>
      <w:r>
        <w:t>1.4 公众反馈意见及处理情况</w:t>
      </w:r>
      <w:bookmarkEnd w:id="1342"/>
      <w:bookmarkEnd w:id="1343"/>
      <w:bookmarkEnd w:id="1344"/>
    </w:p>
    <w:p>
      <w:pPr>
        <w:ind w:firstLine="480"/>
      </w:pPr>
      <w:r>
        <w:t>项目设计、施工、试运行和验收期间未收到过投诉。</w:t>
      </w:r>
    </w:p>
    <w:p>
      <w:pPr>
        <w:pStyle w:val="4"/>
      </w:pPr>
      <w:bookmarkStart w:id="1345" w:name="_Toc11606_WPSOffice_Level1"/>
      <w:bookmarkStart w:id="1346" w:name="_Toc2508"/>
      <w:bookmarkStart w:id="1347" w:name="_Toc19081"/>
      <w:bookmarkStart w:id="1348" w:name="_Toc25618"/>
      <w:bookmarkStart w:id="1349" w:name="_Toc296"/>
      <w:bookmarkStart w:id="1350" w:name="_Toc32172"/>
      <w:bookmarkStart w:id="1351" w:name="_Toc13290"/>
      <w:bookmarkStart w:id="1352" w:name="_Toc2732"/>
      <w:bookmarkStart w:id="1353" w:name="_Toc564"/>
      <w:bookmarkStart w:id="1354" w:name="_Toc13325"/>
      <w:r>
        <w:t>2 其他环境保护措施的落实情况</w:t>
      </w:r>
      <w:bookmarkEnd w:id="1345"/>
      <w:bookmarkEnd w:id="1346"/>
      <w:bookmarkEnd w:id="1347"/>
      <w:bookmarkEnd w:id="1348"/>
      <w:bookmarkEnd w:id="1349"/>
      <w:bookmarkEnd w:id="1350"/>
      <w:bookmarkEnd w:id="1351"/>
      <w:bookmarkEnd w:id="1352"/>
      <w:bookmarkEnd w:id="1353"/>
      <w:bookmarkEnd w:id="1354"/>
    </w:p>
    <w:p>
      <w:pPr>
        <w:pStyle w:val="5"/>
      </w:pPr>
      <w:bookmarkStart w:id="1355" w:name="_Toc11170"/>
      <w:bookmarkStart w:id="1356" w:name="_Toc11606_WPSOffice_Level2"/>
      <w:bookmarkStart w:id="1357" w:name="_Toc11540"/>
      <w:r>
        <w:t>2.1 制度措施落实情况</w:t>
      </w:r>
      <w:bookmarkEnd w:id="1355"/>
      <w:bookmarkEnd w:id="1356"/>
      <w:bookmarkEnd w:id="1357"/>
    </w:p>
    <w:p>
      <w:pPr>
        <w:ind w:firstLine="482"/>
        <w:rPr>
          <w:b/>
          <w:bCs/>
        </w:rPr>
      </w:pPr>
      <w:r>
        <w:rPr>
          <w:b/>
          <w:bCs/>
        </w:rPr>
        <w:t>(1) 环保组织机构及规章制度</w:t>
      </w:r>
    </w:p>
    <w:p>
      <w:pPr>
        <w:ind w:firstLine="480"/>
      </w:pPr>
      <w:r>
        <w:t>为加强</w:t>
      </w:r>
      <w:r>
        <w:rPr>
          <w:rFonts w:hint="eastAsia"/>
        </w:rPr>
        <w:t>环保</w:t>
      </w:r>
      <w:r>
        <w:t>管理，</w:t>
      </w:r>
      <w:r>
        <w:rPr>
          <w:rFonts w:hint="eastAsia"/>
        </w:rPr>
        <w:t>公司成立安环科（科长一人、成员一人），建立</w:t>
      </w:r>
      <w:r>
        <w:t>环保管理类规章、制度</w:t>
      </w:r>
      <w:r>
        <w:rPr>
          <w:rFonts w:hint="eastAsia"/>
        </w:rPr>
        <w:t>，</w:t>
      </w:r>
      <w:r>
        <w:t>规范公司各部位制度流程和员工行为规范，提高工作效率。</w:t>
      </w:r>
    </w:p>
    <w:p>
      <w:pPr>
        <w:numPr>
          <w:ilvl w:val="0"/>
          <w:numId w:val="8"/>
        </w:numPr>
        <w:ind w:firstLine="482"/>
        <w:rPr>
          <w:b/>
          <w:bCs/>
        </w:rPr>
      </w:pPr>
      <w:r>
        <w:rPr>
          <w:b/>
          <w:bCs/>
        </w:rPr>
        <w:t>环境风险防范措施</w:t>
      </w:r>
    </w:p>
    <w:p>
      <w:pPr>
        <w:ind w:firstLine="480"/>
      </w:pPr>
      <w:r>
        <w:t>制订了完善的环境风险应急预案、并报送枣庄市生态环境局峄城分局备案(备案编号：</w:t>
      </w:r>
      <w:r>
        <w:rPr>
          <w:rFonts w:hint="eastAsia"/>
        </w:rPr>
        <w:t>370404-2022-23-L</w:t>
      </w:r>
      <w:r>
        <w:t>)。</w:t>
      </w:r>
    </w:p>
    <w:p>
      <w:pPr>
        <w:numPr>
          <w:ilvl w:val="0"/>
          <w:numId w:val="8"/>
        </w:numPr>
        <w:ind w:firstLine="482"/>
        <w:rPr>
          <w:b/>
          <w:bCs/>
        </w:rPr>
      </w:pPr>
      <w:r>
        <w:rPr>
          <w:b/>
          <w:bCs/>
        </w:rPr>
        <w:t>环境监测计划</w:t>
      </w:r>
    </w:p>
    <w:p>
      <w:pPr>
        <w:pStyle w:val="31"/>
        <w:spacing w:before="0" w:beforeAutospacing="0" w:after="0" w:afterAutospacing="0"/>
        <w:ind w:firstLine="480"/>
        <w:rPr>
          <w:rFonts w:ascii="Times New Roman" w:hAnsi="Times New Roman"/>
          <w:color w:val="auto"/>
        </w:rPr>
      </w:pPr>
      <w:r>
        <w:rPr>
          <w:rFonts w:ascii="Times New Roman" w:hAnsi="Times New Roman"/>
          <w:color w:val="auto"/>
        </w:rPr>
        <w:t>公司于202</w:t>
      </w:r>
      <w:r>
        <w:rPr>
          <w:rFonts w:hint="eastAsia"/>
          <w:color w:val="auto"/>
        </w:rPr>
        <w:t>3</w:t>
      </w:r>
      <w:r>
        <w:rPr>
          <w:rFonts w:ascii="Times New Roman" w:hAnsi="Times New Roman"/>
          <w:color w:val="auto"/>
        </w:rPr>
        <w:t>年</w:t>
      </w:r>
      <w:r>
        <w:rPr>
          <w:rFonts w:hint="eastAsia"/>
          <w:color w:val="auto"/>
        </w:rPr>
        <w:t>10</w:t>
      </w:r>
      <w:r>
        <w:rPr>
          <w:rFonts w:ascii="Times New Roman" w:hAnsi="Times New Roman"/>
          <w:color w:val="auto"/>
        </w:rPr>
        <w:t>月</w:t>
      </w:r>
      <w:r>
        <w:rPr>
          <w:rFonts w:hint="eastAsia" w:ascii="Times New Roman" w:hAnsi="Times New Roman"/>
          <w:color w:val="auto"/>
        </w:rPr>
        <w:t>11</w:t>
      </w:r>
      <w:r>
        <w:rPr>
          <w:rFonts w:ascii="Times New Roman" w:hAnsi="Times New Roman"/>
          <w:color w:val="auto"/>
        </w:rPr>
        <w:t>日</w:t>
      </w:r>
      <w:r>
        <w:rPr>
          <w:rFonts w:hint="eastAsia" w:ascii="Times New Roman" w:hAnsi="Times New Roman"/>
          <w:color w:val="auto"/>
        </w:rPr>
        <w:t>通过</w:t>
      </w:r>
      <w:r>
        <w:rPr>
          <w:rFonts w:ascii="Times New Roman" w:hAnsi="Times New Roman"/>
          <w:color w:val="auto"/>
        </w:rPr>
        <w:t>排污许可</w:t>
      </w:r>
      <w:r>
        <w:rPr>
          <w:rFonts w:hint="eastAsia" w:ascii="Times New Roman" w:hAnsi="Times New Roman"/>
          <w:color w:val="auto"/>
        </w:rPr>
        <w:t>登记回执</w:t>
      </w:r>
      <w:r>
        <w:rPr>
          <w:rFonts w:hint="eastAsia"/>
          <w:color w:val="auto"/>
        </w:rPr>
        <w:t>，排污证</w:t>
      </w:r>
      <w:r>
        <w:rPr>
          <w:rFonts w:ascii="Times New Roman" w:hAnsi="Times New Roman"/>
          <w:color w:val="auto"/>
        </w:rPr>
        <w:t>编</w:t>
      </w:r>
      <w:r>
        <w:rPr>
          <w:color w:val="auto"/>
        </w:rPr>
        <w:t>号：91370404MA3QRGPB6C001W</w:t>
      </w:r>
      <w:r>
        <w:rPr>
          <w:rFonts w:ascii="Times New Roman" w:hAnsi="Times New Roman"/>
          <w:color w:val="auto"/>
        </w:rPr>
        <w:t>，有效期限自202</w:t>
      </w:r>
      <w:r>
        <w:rPr>
          <w:rFonts w:hint="eastAsia"/>
          <w:color w:val="auto"/>
        </w:rPr>
        <w:t>3</w:t>
      </w:r>
      <w:r>
        <w:rPr>
          <w:rFonts w:ascii="Times New Roman" w:hAnsi="Times New Roman"/>
          <w:color w:val="auto"/>
        </w:rPr>
        <w:t>年</w:t>
      </w:r>
      <w:r>
        <w:rPr>
          <w:rFonts w:hint="eastAsia"/>
          <w:color w:val="auto"/>
        </w:rPr>
        <w:t>10</w:t>
      </w:r>
      <w:r>
        <w:rPr>
          <w:rFonts w:ascii="Times New Roman" w:hAnsi="Times New Roman"/>
          <w:color w:val="auto"/>
        </w:rPr>
        <w:t>月</w:t>
      </w:r>
      <w:r>
        <w:rPr>
          <w:rFonts w:hint="eastAsia"/>
          <w:color w:val="auto"/>
        </w:rPr>
        <w:t>11</w:t>
      </w:r>
      <w:r>
        <w:rPr>
          <w:rFonts w:ascii="Times New Roman" w:hAnsi="Times New Roman"/>
          <w:color w:val="auto"/>
        </w:rPr>
        <w:t>日至202</w:t>
      </w:r>
      <w:r>
        <w:rPr>
          <w:rFonts w:hint="eastAsia"/>
          <w:color w:val="auto"/>
        </w:rPr>
        <w:t>8</w:t>
      </w:r>
      <w:r>
        <w:rPr>
          <w:rFonts w:ascii="Times New Roman" w:hAnsi="Times New Roman"/>
          <w:color w:val="auto"/>
        </w:rPr>
        <w:t>年</w:t>
      </w:r>
      <w:r>
        <w:rPr>
          <w:rFonts w:hint="eastAsia" w:ascii="Times New Roman" w:hAnsi="Times New Roman"/>
          <w:color w:val="auto"/>
        </w:rPr>
        <w:t>10</w:t>
      </w:r>
      <w:r>
        <w:rPr>
          <w:rFonts w:ascii="Times New Roman" w:hAnsi="Times New Roman"/>
          <w:color w:val="auto"/>
        </w:rPr>
        <w:t>月</w:t>
      </w:r>
      <w:r>
        <w:rPr>
          <w:rFonts w:hint="eastAsia"/>
          <w:color w:val="auto"/>
        </w:rPr>
        <w:t>10</w:t>
      </w:r>
      <w:r>
        <w:rPr>
          <w:rFonts w:ascii="Times New Roman" w:hAnsi="Times New Roman"/>
          <w:color w:val="auto"/>
        </w:rPr>
        <w:t>日止。</w:t>
      </w:r>
    </w:p>
    <w:p>
      <w:pPr>
        <w:ind w:firstLine="480"/>
      </w:pPr>
      <w:r>
        <w:t>企业按照环境影响报告表及其审批部门审批决定、排污许可证要求制定了本项目环境监测计划，并按计</w:t>
      </w:r>
      <w:r>
        <w:rPr>
          <w:highlight w:val="none"/>
        </w:rPr>
        <w:t>划</w:t>
      </w:r>
      <w:r>
        <w:rPr>
          <w:rFonts w:hint="eastAsia"/>
          <w:highlight w:val="none"/>
          <w:lang w:val="en-US" w:eastAsia="zh-CN"/>
        </w:rPr>
        <w:t>委托有资质单位</w:t>
      </w:r>
      <w:r>
        <w:t>进行监测。对于已开展的监测结果均达标。</w:t>
      </w:r>
    </w:p>
    <w:p>
      <w:pPr>
        <w:pStyle w:val="5"/>
      </w:pPr>
      <w:bookmarkStart w:id="1358" w:name="_Toc18185_WPSOffice_Level2"/>
      <w:bookmarkStart w:id="1359" w:name="_Toc17281"/>
      <w:bookmarkStart w:id="1360" w:name="_Toc14289"/>
      <w:r>
        <w:t>2.2 配套措施落实情况</w:t>
      </w:r>
      <w:bookmarkEnd w:id="1358"/>
      <w:bookmarkEnd w:id="1359"/>
      <w:bookmarkEnd w:id="1360"/>
    </w:p>
    <w:p>
      <w:pPr>
        <w:ind w:firstLine="480"/>
      </w:pPr>
      <w:r>
        <w:t>(1) 区域削减及淘汰落后产能</w:t>
      </w:r>
    </w:p>
    <w:p>
      <w:pPr>
        <w:ind w:firstLine="480"/>
      </w:pPr>
      <w:r>
        <w:t>本项目不涉及淘汰落后产能。</w:t>
      </w:r>
    </w:p>
    <w:p>
      <w:pPr>
        <w:numPr>
          <w:ilvl w:val="0"/>
          <w:numId w:val="9"/>
        </w:numPr>
        <w:ind w:firstLine="480"/>
      </w:pPr>
      <w:r>
        <w:t>防护距离控制及居民搬迁</w:t>
      </w:r>
    </w:p>
    <w:p>
      <w:pPr>
        <w:ind w:firstLine="480"/>
      </w:pPr>
      <w:bookmarkStart w:id="1361" w:name="_Toc9192_WPSOffice_Level2"/>
      <w:r>
        <w:t>本项目不需设置大气环境防护距离。</w:t>
      </w:r>
    </w:p>
    <w:p>
      <w:pPr>
        <w:pStyle w:val="5"/>
      </w:pPr>
      <w:bookmarkStart w:id="1362" w:name="_Toc13985"/>
      <w:bookmarkStart w:id="1363" w:name="_Toc26940"/>
      <w:r>
        <w:t>2.3 其他措施落实情况</w:t>
      </w:r>
      <w:bookmarkEnd w:id="1361"/>
      <w:bookmarkEnd w:id="1362"/>
      <w:bookmarkEnd w:id="1363"/>
    </w:p>
    <w:p>
      <w:pPr>
        <w:ind w:firstLine="480"/>
      </w:pPr>
      <w:r>
        <w:t>厂区进行了绿化，进一步削减污染物对外界的影响。</w:t>
      </w:r>
    </w:p>
    <w:p>
      <w:pPr>
        <w:pStyle w:val="4"/>
      </w:pPr>
      <w:bookmarkStart w:id="1364" w:name="_Toc26036"/>
      <w:bookmarkStart w:id="1365" w:name="_Toc30811"/>
      <w:bookmarkStart w:id="1366" w:name="_Toc15753"/>
      <w:bookmarkStart w:id="1367" w:name="_Toc31490"/>
      <w:bookmarkStart w:id="1368" w:name="_Toc15524"/>
      <w:bookmarkStart w:id="1369" w:name="_Toc16113"/>
      <w:bookmarkStart w:id="1370" w:name="_Toc4979"/>
      <w:bookmarkStart w:id="1371" w:name="_Toc21480"/>
      <w:bookmarkStart w:id="1372" w:name="_Toc16826"/>
      <w:bookmarkStart w:id="1373" w:name="_Toc18185_WPSOffice_Level1"/>
      <w:r>
        <w:t>3 整改工作情况</w:t>
      </w:r>
      <w:bookmarkEnd w:id="1364"/>
      <w:bookmarkEnd w:id="1365"/>
      <w:bookmarkEnd w:id="1366"/>
      <w:bookmarkEnd w:id="1367"/>
      <w:bookmarkEnd w:id="1368"/>
      <w:bookmarkEnd w:id="1369"/>
      <w:bookmarkEnd w:id="1370"/>
      <w:bookmarkEnd w:id="1371"/>
      <w:bookmarkEnd w:id="1372"/>
      <w:bookmarkEnd w:id="1373"/>
    </w:p>
    <w:p>
      <w:pPr>
        <w:ind w:firstLine="480"/>
      </w:pPr>
      <w:r>
        <w:t>自202</w:t>
      </w:r>
      <w:r>
        <w:rPr>
          <w:rFonts w:hint="eastAsia"/>
        </w:rPr>
        <w:t>3</w:t>
      </w:r>
      <w:r>
        <w:t>年</w:t>
      </w:r>
      <w:r>
        <w:rPr>
          <w:rFonts w:hint="eastAsia"/>
        </w:rPr>
        <w:t>3</w:t>
      </w:r>
      <w:r>
        <w:t>月开工</w:t>
      </w:r>
      <w:r>
        <w:rPr>
          <w:rFonts w:hint="eastAsia"/>
          <w:lang w:val="en-US" w:eastAsia="zh-CN"/>
        </w:rPr>
        <w:t>建设</w:t>
      </w:r>
      <w:r>
        <w:t>以来，公司对照环评及审批部门决定，严格落实施工期环保措施，根据前期环保措施的设计要求逐一落实了环保措施，202</w:t>
      </w:r>
      <w:r>
        <w:rPr>
          <w:rFonts w:hint="eastAsia"/>
        </w:rPr>
        <w:t>3</w:t>
      </w:r>
      <w:r>
        <w:t>年</w:t>
      </w:r>
      <w:r>
        <w:rPr>
          <w:rFonts w:hint="eastAsia"/>
        </w:rPr>
        <w:t>10</w:t>
      </w:r>
      <w:r>
        <w:t>月完成项目主体工程及配套储运、环保工程</w:t>
      </w:r>
      <w:r>
        <w:rPr>
          <w:highlight w:val="none"/>
        </w:rPr>
        <w:t>等。202</w:t>
      </w:r>
      <w:r>
        <w:rPr>
          <w:rFonts w:hint="eastAsia"/>
          <w:highlight w:val="none"/>
        </w:rPr>
        <w:t>4年</w:t>
      </w:r>
      <w:r>
        <w:rPr>
          <w:rFonts w:hint="eastAsia"/>
          <w:highlight w:val="none"/>
          <w:lang w:val="en-US" w:eastAsia="zh-CN"/>
        </w:rPr>
        <w:t>03</w:t>
      </w:r>
      <w:r>
        <w:rPr>
          <w:rFonts w:hint="eastAsia"/>
          <w:highlight w:val="none"/>
        </w:rPr>
        <w:t>月</w:t>
      </w:r>
      <w:r>
        <w:rPr>
          <w:rFonts w:hint="eastAsia"/>
          <w:highlight w:val="none"/>
          <w:lang w:val="en-US" w:eastAsia="zh-CN"/>
        </w:rPr>
        <w:t>17</w:t>
      </w:r>
      <w:r>
        <w:rPr>
          <w:rFonts w:hint="eastAsia"/>
          <w:highlight w:val="none"/>
        </w:rPr>
        <w:t xml:space="preserve"> </w:t>
      </w:r>
      <w:r>
        <w:rPr>
          <w:highlight w:val="none"/>
        </w:rPr>
        <w:t>日组织完</w:t>
      </w:r>
      <w:r>
        <w:t>成验收评审后，根据验收意见要求对验收监测报告内容进行了修改及资料的补充后进行了验收网上公示（见附件）。</w:t>
      </w:r>
    </w:p>
    <w:p>
      <w:pPr>
        <w:ind w:firstLine="0" w:firstLineChars="0"/>
        <w:rPr>
          <w:color w:val="FF0000"/>
        </w:rPr>
      </w:pPr>
    </w:p>
    <w:sectPr>
      <w:footerReference r:id="rId13" w:type="default"/>
      <w:pgSz w:w="11905" w:h="16838"/>
      <w:pgMar w:top="1247" w:right="1247" w:bottom="1247" w:left="1247" w:header="709" w:footer="680" w:gutter="0"/>
      <w:cols w:space="0" w:num="1"/>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华文仿宋">
    <w:altName w:val="仿宋"/>
    <w:panose1 w:val="00000000000000000000"/>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rPr>
        <w:rFonts w:ascii="华文仿宋" w:hAnsi="华文仿宋" w:eastAsia="华文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posOffset>2654935</wp:posOffset>
              </wp:positionH>
              <wp:positionV relativeFrom="paragraph">
                <wp:posOffset>83185</wp:posOffset>
              </wp:positionV>
              <wp:extent cx="342900" cy="1828800"/>
              <wp:effectExtent l="0" t="0" r="0" b="0"/>
              <wp:wrapNone/>
              <wp:docPr id="86" name="文本框 4097"/>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w="9525">
                        <a:noFill/>
                      </a:ln>
                      <a:effectLst/>
                    </wps:spPr>
                    <wps:txbx>
                      <w:txbxContent>
                        <w:p>
                          <w:pPr>
                            <w:tabs>
                              <w:tab w:val="center" w:pos="4153"/>
                              <w:tab w:val="right" w:pos="8306"/>
                            </w:tabs>
                            <w:ind w:firstLine="480"/>
                          </w:pPr>
                        </w:p>
                      </w:txbxContent>
                    </wps:txbx>
                    <wps:bodyPr vert="horz" wrap="square" lIns="0" tIns="0" rIns="0" bIns="0" anchor="t">
                      <a:spAutoFit/>
                    </wps:bodyPr>
                  </wps:wsp>
                </a:graphicData>
              </a:graphic>
            </wp:anchor>
          </w:drawing>
        </mc:Choice>
        <mc:Fallback>
          <w:pict>
            <v:shape id="文本框 4097" o:spid="_x0000_s1026" o:spt="202" type="#_x0000_t202" style="position:absolute;left:0pt;margin-left:209.05pt;margin-top:6.55pt;height:144pt;width:27pt;mso-position-horizontal-relative:margin;z-index:251659264;mso-width-relative:page;mso-height-relative:page;" filled="f" stroked="f" coordsize="21600,21600" o:gfxdata="UEsDBAoAAAAAAIdO4kAAAAAAAAAAAAAAAAAEAAAAZHJzL1BLAwQUAAAACACHTuJApPJ/sNYAAAAK&#10;AQAADwAAAGRycy9kb3ducmV2LnhtbE2PMU/DMBCFdyT+g3VILIjaTqtSQpwOCBY2CgubGx9JhH2O&#10;YjcJ/fUcE0x3p/f07nvVfgleTDimPpIBvVIgkJroemoNvL893+5ApGzJWR8JDXxjgn19eVHZ0sWZ&#10;XnE65FZwCKXSGuhyHkopU9NhsGkVByTWPuMYbOZzbKUb7czhwctCqa0Mtif+0NkBHztsvg6nYGC7&#10;PA03L/dYzOfGT/Rx1jqjNub6SqsHEBmX/GeGX3xGh5qZjvFELglvYKN3mq0srHmyYXNX8HI0sFZa&#10;g6wr+b9C/QNQSwMEFAAAAAgAh07iQGP231DoAQAAwAMAAA4AAABkcnMvZTJvRG9jLnhtbK1TTY7T&#10;MBTeI3EHy3uaNMwMbdR0BKoGISFAGuYAruM0lvyHn9ukHABuwIrN7DlXz8Gzk3RGw2YWbJL35++9&#10;7/Pz6rrXihyEB2lNReeznBJhuK2l2VX07uvNqwUlEJipmbJGVPQogF6vX75Yda4UhW2tqoUnCGKg&#10;7FxF2xBcmWXAW6EZzKwTBpON9ZoFdP0uqz3rEF2rrMjzq6yzvnbecgGA0c2QpCOifw6gbRrJxcby&#10;vRYmDKheKBaQErTSAV2naZtG8PC5aUAEoiqKTEP6YhO0t/GbrVes3HnmWsnHEdhzRnjCSTNpsOkZ&#10;asMCI3sv/4HSknsLtgkzbnU2EEmKIIt5/kSb25Y5kbig1ODOosP/g+WfDl88kXVFF1eUGKbxxk+/&#10;fp5+/znd/yAX+fJNlKhzUGLlrcPa0L+zPS7OFAcMRuZ943X8IyeCeRT4eBZY9IFwDL6+KJY5Zjim&#10;5otisUAH4bOH085DeC+sJtGoqMcLTLqyw0cIQ+lUEpsZeyOVSpeoDOkqurwsLtOBcwbBlYm1Iq3D&#10;CBMZDZNHK/TbfqS5tfURWeIDwfat9d8p6XA9Kgrf9swLStQHg/rHXZoMPxnbyWCG49GKDrODe7sP&#10;OGiaP7YbeiDv6ODFJgXGJYyb89hPVQ8Pb/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PJ/sNYA&#10;AAAKAQAADwAAAAAAAAABACAAAAAiAAAAZHJzL2Rvd25yZXYueG1sUEsBAhQAFAAAAAgAh07iQGP2&#10;31DoAQAAwAMAAA4AAAAAAAAAAQAgAAAAJQEAAGRycy9lMm9Eb2MueG1sUEsFBgAAAAAGAAYAWQEA&#10;AH8FAAAAAA==&#10;">
              <v:fill on="f" focussize="0,0"/>
              <v:stroke on="f"/>
              <v:imagedata o:title=""/>
              <o:lock v:ext="edit" aspectratio="f"/>
              <v:textbox inset="0mm,0mm,0mm,0mm" style="mso-fit-shape-to-text:t;">
                <w:txbxContent>
                  <w:p>
                    <w:pPr>
                      <w:tabs>
                        <w:tab w:val="center" w:pos="4153"/>
                        <w:tab w:val="right" w:pos="8306"/>
                      </w:tabs>
                      <w:ind w:firstLine="48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tabs>
        <w:tab w:val="left" w:pos="840"/>
        <w:tab w:val="right" w:pos="8306"/>
      </w:tabs>
      <w:snapToGrid w:val="0"/>
      <w:jc w:val="left"/>
      <w:rPr>
        <w:rFonts w:ascii="华文仿宋" w:hAnsi="华文仿宋" w:eastAsia="华文仿宋"/>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tabs>
                              <w:tab w:val="center" w:pos="4153"/>
                              <w:tab w:val="right" w:pos="8306"/>
                            </w:tabs>
                            <w:ind w:firstLine="480"/>
                          </w:pPr>
                          <w:r>
                            <w:fldChar w:fldCharType="begin"/>
                          </w:r>
                          <w:r>
                            <w:instrText xml:space="preserve"> PAGE  \* MERGEFORMAT </w:instrText>
                          </w:r>
                          <w:r>
                            <w:fldChar w:fldCharType="separate"/>
                          </w:r>
                          <w:r>
                            <w:t>II</w:t>
                          </w:r>
                          <w:r>
                            <w:fldChar w:fldCharType="end"/>
                          </w:r>
                        </w:p>
                      </w:txbxContent>
                    </wps:txbx>
                    <wps:bodyPr vert="horz" wrap="none" lIns="0" tIns="0" rIns="0" bIns="0" anchor="t">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qKC7+ABAAC9AwAADgAAAGRycy9lMm9Eb2MueG1srVPNjtMwEL4j8Q6W&#10;7zRppYUQ1V0tqhYhIUBaeADXcRpL/pPHbVIeAN6AExfuPFefY8dO0kXLZQ97SWY842/m+2a8vh6M&#10;JkcZQDnL6HJRUiKtcI2ye0a/fb19VVECkduGa2cloycJ9Hrz8sW697Vcuc7pRgaCIBbq3jPaxejr&#10;ogDRScNh4by0GGxdMDyiG/ZFE3iP6EYXq7J8XfQuND44IQHwdDsG6YQYngLo2lYJuXXiYKSNI2qQ&#10;mkekBJ3yQDe527aVIn5uW5CRaEaRacxfLIL2Ln2LzZrX+8B9p8TUAn9KC484Ga4sFr1AbXnk5BDU&#10;f1BGieDAtXEhnClGIlkRZLEsH2lz13EvMxeUGvxFdHg+WPHp+CUQ1TBa4dwtNzjx86+f599/z39+&#10;kOWbJFDvoca8O4+ZcXjnBlyb+RzwMPEe2mDSHxkRjKO8p4u8cohEpEvVqqpKDAmMzQ7iFw/XfYD4&#10;XjpDksFowPllWfnxI8QxdU5J1ay7VVrnGWpLekbfXq2u8oVLBMG1Tbkyb8MEkyiNrScrDrth4rlz&#10;zQlp4vvA8p0L3ynpcTsYtfgYKNEfLIqfFmk2wmzsZoNbgRcZHTsHf3OI2GbuPhUbKyDr5OBUM/9p&#10;A9Pa/OvnrIdXt7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aigu/gAQAAvQMAAA4AAAAA&#10;AAAAAQAgAAAAHgEAAGRycy9lMm9Eb2MueG1sUEsFBgAAAAAGAAYAWQEAAHAFAAAAAA==&#10;">
              <v:fill on="f" focussize="0,0"/>
              <v:stroke on="f"/>
              <v:imagedata o:title=""/>
              <o:lock v:ext="edit" aspectratio="f"/>
              <v:textbox inset="0mm,0mm,0mm,0mm" style="mso-fit-shape-to-text:t;">
                <w:txbxContent>
                  <w:p>
                    <w:pPr>
                      <w:tabs>
                        <w:tab w:val="center" w:pos="4153"/>
                        <w:tab w:val="right" w:pos="8306"/>
                      </w:tabs>
                      <w:ind w:firstLine="480"/>
                    </w:pPr>
                    <w:r>
                      <w:fldChar w:fldCharType="begin"/>
                    </w:r>
                    <w:r>
                      <w:instrText xml:space="preserve"> PAGE  \* MERGEFORMAT </w:instrText>
                    </w:r>
                    <w:r>
                      <w:fldChar w:fldCharType="separate"/>
                    </w:r>
                    <w:r>
                      <w:t>II</w:t>
                    </w:r>
                    <w:r>
                      <w:fldChar w:fldCharType="end"/>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margin">
                <wp:posOffset>2654935</wp:posOffset>
              </wp:positionH>
              <wp:positionV relativeFrom="paragraph">
                <wp:posOffset>83185</wp:posOffset>
              </wp:positionV>
              <wp:extent cx="342900" cy="1828800"/>
              <wp:effectExtent l="0" t="0" r="0" b="0"/>
              <wp:wrapNone/>
              <wp:docPr id="87" name="文本框 4097"/>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w="9525">
                        <a:noFill/>
                      </a:ln>
                      <a:effectLst/>
                    </wps:spPr>
                    <wps:txbx>
                      <w:txbxContent>
                        <w:p>
                          <w:pPr>
                            <w:tabs>
                              <w:tab w:val="center" w:pos="4153"/>
                              <w:tab w:val="right" w:pos="8306"/>
                            </w:tabs>
                            <w:ind w:firstLine="480"/>
                          </w:pPr>
                        </w:p>
                      </w:txbxContent>
                    </wps:txbx>
                    <wps:bodyPr vert="horz" wrap="square" lIns="0" tIns="0" rIns="0" bIns="0" anchor="t">
                      <a:spAutoFit/>
                    </wps:bodyPr>
                  </wps:wsp>
                </a:graphicData>
              </a:graphic>
            </wp:anchor>
          </w:drawing>
        </mc:Choice>
        <mc:Fallback>
          <w:pict>
            <v:shape id="文本框 4097" o:spid="_x0000_s1026" o:spt="202" type="#_x0000_t202" style="position:absolute;left:0pt;margin-left:209.05pt;margin-top:6.55pt;height:144pt;width:27pt;mso-position-horizontal-relative:margin;z-index:251660288;mso-width-relative:page;mso-height-relative:page;" filled="f" stroked="f" coordsize="21600,21600" o:gfxdata="UEsDBAoAAAAAAIdO4kAAAAAAAAAAAAAAAAAEAAAAZHJzL1BLAwQUAAAACACHTuJApPJ/sNYAAAAK&#10;AQAADwAAAGRycy9kb3ducmV2LnhtbE2PMU/DMBCFdyT+g3VILIjaTqtSQpwOCBY2CgubGx9JhH2O&#10;YjcJ/fUcE0x3p/f07nvVfgleTDimPpIBvVIgkJroemoNvL893+5ApGzJWR8JDXxjgn19eVHZ0sWZ&#10;XnE65FZwCKXSGuhyHkopU9NhsGkVByTWPuMYbOZzbKUb7czhwctCqa0Mtif+0NkBHztsvg6nYGC7&#10;PA03L/dYzOfGT/Rx1jqjNub6SqsHEBmX/GeGX3xGh5qZjvFELglvYKN3mq0srHmyYXNX8HI0sFZa&#10;g6wr+b9C/QNQSwMEFAAAAAgAh07iQPy/0PjoAQAAwAMAAA4AAABkcnMvZTJvRG9jLnhtbK1TTY7T&#10;MBTeI3EHy3uaNMwwbdR0BKoGISFAGuYAruM0lvyHn9ukHABuwIrN7DlXz8Gzk3RGw2YWbJL35++9&#10;7/Pz6rrXihyEB2lNReeznBJhuK2l2VX07uvNqwUlEJipmbJGVPQogF6vX75Yda4UhW2tqoUnCGKg&#10;7FxF2xBcmWXAW6EZzKwTBpON9ZoFdP0uqz3rEF2rrMjzN1lnfe285QIAo5shSUdE/xxA2zSSi43l&#10;ey1MGFC9UCwgJWilA7pO0zaN4OFz04AIRFUUmYb0xSZob+M3W69YufPMtZKPI7DnjPCEk2bSYNMz&#10;1IYFRvZe/gOlJfcWbBNm3OpsIJIUQRbz/Ik2ty1zInFBqcGdRYf/B8s/Hb54IuuKLq4oMUzjjZ9+&#10;/Tz9/nO6/0Eu8uVVlKhzUGLlrcPa0L+zPS7OFAcMRuZ943X8IyeCeRT4eBZY9IFwDL6+KJY5Zjim&#10;5otisUAH4bOH085DeC+sJtGoqMcLTLqyw0cIQ+lUEpsZeyOVSpeoDOkqurwsLtOBcwbBlYm1Iq3D&#10;CBMZDZNHK/TbfqS5tfURWeIDwfat9d8p6XA9Kgrf9swLStQHg/rHXZoMPxnbyWCG49GKDrODe7sP&#10;OGiaP7YbeiDv6ODFJgXGJYyb89hPVQ8Pb/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PJ/sNYA&#10;AAAKAQAADwAAAAAAAAABACAAAAAiAAAAZHJzL2Rvd25yZXYueG1sUEsBAhQAFAAAAAgAh07iQPy/&#10;0PjoAQAAwAMAAA4AAAAAAAAAAQAgAAAAJQEAAGRycy9lMm9Eb2MueG1sUEsFBgAAAAAGAAYAWQEA&#10;AH8FAAAAAA==&#10;">
              <v:fill on="f" focussize="0,0"/>
              <v:stroke on="f"/>
              <v:imagedata o:title=""/>
              <o:lock v:ext="edit" aspectratio="f"/>
              <v:textbox inset="0mm,0mm,0mm,0mm" style="mso-fit-shape-to-text:t;">
                <w:txbxContent>
                  <w:p>
                    <w:pPr>
                      <w:tabs>
                        <w:tab w:val="center" w:pos="4153"/>
                        <w:tab w:val="right" w:pos="8306"/>
                      </w:tabs>
                      <w:ind w:firstLine="480"/>
                    </w:pPr>
                  </w:p>
                </w:txbxContent>
              </v:textbox>
            </v:shape>
          </w:pict>
        </mc:Fallback>
      </mc:AlternateContent>
    </w:r>
    <w:r>
      <w:rPr>
        <w:rFonts w:hint="eastAsia" w:ascii="华文仿宋" w:hAnsi="华文仿宋" w:eastAsia="华文仿宋"/>
        <w:sz w:val="21"/>
        <w:szCs w:val="21"/>
        <w:vertAlign w:val="superscript"/>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tabs>
        <w:tab w:val="left" w:pos="669"/>
        <w:tab w:val="right" w:pos="8306"/>
      </w:tabs>
      <w:snapToGrid w:val="0"/>
      <w:ind w:firstLine="0" w:firstLineChars="0"/>
      <w:jc w:val="left"/>
      <w:rPr>
        <w:rFonts w:ascii="华文仿宋" w:hAnsi="华文仿宋" w:eastAsia="华文仿宋"/>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00"/>
                            <w:rPr>
                              <w:sz w:val="15"/>
                              <w:szCs w:val="15"/>
                            </w:rPr>
                          </w:pPr>
                          <w:r>
                            <w:rPr>
                              <w:sz w:val="15"/>
                              <w:szCs w:val="15"/>
                            </w:rPr>
                            <w:fldChar w:fldCharType="begin"/>
                          </w:r>
                          <w:r>
                            <w:rPr>
                              <w:sz w:val="15"/>
                              <w:szCs w:val="15"/>
                            </w:rPr>
                            <w:instrText xml:space="preserve"> PAGE  \* MERGEFORMAT </w:instrText>
                          </w:r>
                          <w:r>
                            <w:rPr>
                              <w:sz w:val="15"/>
                              <w:szCs w:val="15"/>
                            </w:rPr>
                            <w:fldChar w:fldCharType="separate"/>
                          </w:r>
                          <w:r>
                            <w:rPr>
                              <w:sz w:val="15"/>
                              <w:szCs w:val="15"/>
                            </w:rPr>
                            <w:t>18</w:t>
                          </w:r>
                          <w:r>
                            <w:rPr>
                              <w:sz w:val="15"/>
                              <w:szCs w:val="15"/>
                            </w:rPr>
                            <w:fldChar w:fldCharType="end"/>
                          </w:r>
                        </w:p>
                      </w:txbxContent>
                    </wps:txbx>
                    <wps:bodyPr vert="horz" wrap="none" lIns="0" tIns="0" rIns="0" bIns="0" anchor="t" anchorCtr="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QPJF9cBAACzAwAADgAAAGRycy9lMm9Eb2MueG1srVPNjtMwEL4j8Q6W&#10;7zTZHlaharqCrRYhIUBaeADXcRpL/pNn2qQ8ALwBJy7cea4+B2Mn6cJy2QOXZDwz/ub7Zsbrm8Ea&#10;dlQRtHc1v1qUnCknfaPdvuafP929qDgDFK4RxjtV85MCfrN5/mzdh5Va+s6bRkVGIA5Wfah5hxhW&#10;RQGyU1bAwgflKNj6aAXSMe6LJoqe0K0plmV5XfQ+NiF6qQDIux2DfEKMTwH0baul2np5sMrhiBqV&#10;EUiSoNMB+CazbVsl8UPbgkJmak5KMX+pCNm79C02a7HaRxE6LScK4ikUHmmyQjsqeoHaChTsEPU/&#10;UFbL6MG3uJDeFqOQ3BFScVU+6s19J4LKWqjVEC5Nh/8HK98fP0amm5pXLzlzwtLEz9+/nX/8Ov/8&#10;yqrUnz7AitLuAyXi8NoPtDWzH8iZZA9ttOlPghjFqbunS3fVgEymS9WyqkoKSYrNB8IvHq6HCPhG&#10;ecuSUfNI48tdFcd3gGPqnJKqOX+njckjNO4vB2EmT5G4jxyThcNumATtfHMiPfQOqE7n4xfOetqC&#10;mjtaes7MW0dNTgszG3E2drMhnKSLNUfORvMW82IlIhBeHZDYZdKp9FhvYkSzzLKnvUvL8uc5Zz28&#10;tc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HEDyRfXAQAAswMAAA4AAAAAAAAAAQAgAAAA&#10;HgEAAGRycy9lMm9Eb2MueG1sUEsFBgAAAAAGAAYAWQEAAGcFAAAAAA==&#10;">
              <v:fill on="f" focussize="0,0"/>
              <v:stroke on="f"/>
              <v:imagedata o:title=""/>
              <o:lock v:ext="edit" aspectratio="f"/>
              <v:textbox inset="0mm,0mm,0mm,0mm" style="mso-fit-shape-to-text:t;">
                <w:txbxContent>
                  <w:p>
                    <w:pPr>
                      <w:pStyle w:val="25"/>
                      <w:ind w:firstLine="300"/>
                      <w:rPr>
                        <w:sz w:val="15"/>
                        <w:szCs w:val="15"/>
                      </w:rPr>
                    </w:pPr>
                    <w:r>
                      <w:rPr>
                        <w:sz w:val="15"/>
                        <w:szCs w:val="15"/>
                      </w:rPr>
                      <w:fldChar w:fldCharType="begin"/>
                    </w:r>
                    <w:r>
                      <w:rPr>
                        <w:sz w:val="15"/>
                        <w:szCs w:val="15"/>
                      </w:rPr>
                      <w:instrText xml:space="preserve"> PAGE  \* MERGEFORMAT </w:instrText>
                    </w:r>
                    <w:r>
                      <w:rPr>
                        <w:sz w:val="15"/>
                        <w:szCs w:val="15"/>
                      </w:rPr>
                      <w:fldChar w:fldCharType="separate"/>
                    </w:r>
                    <w:r>
                      <w:rPr>
                        <w:sz w:val="15"/>
                        <w:szCs w:val="15"/>
                      </w:rPr>
                      <w:t>18</w:t>
                    </w:r>
                    <w:r>
                      <w:rPr>
                        <w:sz w:val="15"/>
                        <w:szCs w:val="15"/>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tabs>
        <w:tab w:val="left" w:pos="865"/>
        <w:tab w:val="right" w:pos="8306"/>
      </w:tabs>
      <w:snapToGrid w:val="0"/>
      <w:ind w:firstLine="480"/>
      <w:jc w:val="lef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69</w:t>
                          </w:r>
                          <w:r>
                            <w:fldChar w:fldCharType="end"/>
                          </w:r>
                        </w:p>
                      </w:txbxContent>
                    </wps:txbx>
                    <wps:bodyPr vert="horz" wrap="none" lIns="0" tIns="0" rIns="0" bIns="0" anchor="t" anchorCtr="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L20dYBAAC0AwAADgAAAGRycy9lMm9Eb2MueG1srVNBrtMwEN0jcQfL&#10;e5r8LlCJmn4B1UdICJA+HMB1nMaS7bHsaZNyALgBKzbsOVfPwdhJWvhs/oJNMp6x37z3PF7fDtaw&#10;owpRg6v5zaLkTDkJjXb7mn/+dPdsxVlE4RphwKman1Tkt5unT9a9r9QSOjCNCoxAXKx6X/MO0VdF&#10;EWWnrIgL8MpRsYVgBdIy7IsmiJ7QrSmWZfm86CE0PoBUMVJ2Oxb5hBgeAwhtq6XagjxY5XBEDcoI&#10;JEmx0z7yTWbbtkrih7aNCpmpOSnF/KUmFO/St9isRbUPwndaThTEYyg80GSFdtT0ArUVKNgh6H+g&#10;rJYBIrS4kGCLUUh2hFTclA+8ue+EV1kLWR39xfT4/2Dl++PHwHRT8xdkiROWbvz8/dv5x6/zz69s&#10;mQ3qfaxo372nnTi8goHGJhmX8pGSSffQBpv+pIhRnbBOF3vVgEymQ6vlalVSSVJtXhBOcT3uQ8Q3&#10;CixLQc0D3V+2VRzfRRy3zltSNwd32ph8h8b9lSDMlCmuHFOEw26YiO+gOZEeegjUp4PwhbOexqDm&#10;jqaeM/PWkcvEFecgzMFuDoSTdLDmyNkYvsY8WYlI9C8PSOwy6dR67DcxosvMsqfBS9Py5zrvuj62&#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lnL20dYBAAC0AwAADgAAAAAAAAABACAAAAAe&#10;AQAAZHJzL2Uyb0RvYy54bWxQSwUGAAAAAAYABgBZAQAAZgU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69</w:t>
                    </w:r>
                    <w:r>
                      <w:fldChar w:fldCharType="end"/>
                    </w:r>
                  </w:p>
                </w:txbxContent>
              </v:textbox>
            </v:shape>
          </w:pict>
        </mc:Fallback>
      </mc:AlternateContent>
    </w:r>
    <w:r>
      <w:rPr>
        <w:rFonts w:hint="eastAsia"/>
        <w:vertAlign w:val="superscript"/>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left w:val="none" w:color="auto" w:sz="0" w:space="4"/>
        <w:bottom w:val="none" w:color="auto" w:sz="0" w:space="1"/>
        <w:right w:val="none" w:color="auto" w:sz="0" w:space="4"/>
      </w:pBdr>
      <w:tabs>
        <w:tab w:val="left" w:pos="865"/>
        <w:tab w:val="clear" w:pos="4153"/>
      </w:tabs>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91</w:t>
                          </w:r>
                          <w:r>
                            <w:fldChar w:fldCharType="end"/>
                          </w:r>
                        </w:p>
                      </w:txbxContent>
                    </wps:txbx>
                    <wps:bodyPr vert="horz" wrap="none" lIns="0" tIns="0" rIns="0" bIns="0" anchor="t" anchorCtr="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Irr9kBAAC0AwAADgAAAGRycy9lMm9Eb2MueG1srVPNjtMwEL4j8Q6W&#10;7zRpkVCpmq6AahESAqSFB3Adp7HkP3mmTcoDwBtw4sKd5+pz7NhJurB72cNekvHM+Jvvmxmvr3pr&#10;2FFF0N5VfD4rOVNO+lq7fcW/fb1+seQMULhaGO9UxU8K+NXm+bN1F1Zq4VtvahUZgThYdaHiLWJY&#10;FQXIVlkBMx+Uo2DjoxVIx7gv6ig6QremWJTlq6LzsQ7RSwVA3u0Q5CNifAygbxot1dbLg1UOB9So&#10;jECSBK0OwDeZbdMoiZ+bBhQyU3FSivlLRcjepW+xWYvVPorQajlSEI+hcE+TFdpR0QvUVqBgh6gf&#10;QFktowff4Ex6WwxCckdIxby815ubVgSVtVCrIVyaDk8HKz8dv0Sm64q/nnPmhKWJn3/9PP/+e/7z&#10;gy1epgZ1AVaUdxMoE/u3vqe1mfxAzqS7b6JNf1LEKE7tPV3aq3pkMl1aLpbLkkKSYtOB8Iu76yEC&#10;vlfesmRUPNL8clvF8SPgkDqlpGrOX2tj8gyN+89BmMlTJO4Dx2Rhv+tHQTtfn0gPPQSq0/r4nbOO&#10;1qDijraeM/PBUZfTxkxGnIzdZAgn6WLFkbPBfId5sxIRCG8OSOwy6VR6qDcyomFm2ePipW3595yz&#10;7h7b5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MfIrr9kBAAC0AwAADgAAAAAAAAABACAA&#10;AAAeAQAAZHJzL2Uyb0RvYy54bWxQSwUGAAAAAAYABgBZAQAAaQU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91</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114</w:t>
                          </w:r>
                          <w:r>
                            <w:fldChar w:fldCharType="end"/>
                          </w:r>
                        </w:p>
                      </w:txbxContent>
                    </wps:txbx>
                    <wps:bodyPr vert="horz" wrap="none" lIns="0" tIns="0" rIns="0" bIns="0" anchor="t" anchorCtr="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p6GTdkBAAC0AwAADgAAAGRycy9lMm9Eb2MueG1srVPNjtMwEL4j8Q6W&#10;7zTZCqESNV0B1SIkBEgLD+A6TmPJf/JMm5QHgDfgxIU7z9Xn2LGTdGG57IFLMp4Zf/N9M+P19WAN&#10;O6oI2ruaXy1KzpSTvtFuX/Mvn2+erTgDFK4RxjtV85MCfr15+mTdh0otfedNoyIjEAdVH2reIYaq&#10;KEB2ygpY+KAcBVsfrUA6xn3RRNETujXFsixfFL2PTYheKgDybscgnxDjYwB922qptl4erHI4okZl&#10;BJIk6HQAvsls21ZJ/Ni2oJCZmpNSzF8qQvYufYvNWlT7KEKn5URBPIbCA01WaEdFL1BbgYIdov4H&#10;ymoZPfgWF9LbYhSSO0IqrsoHvbntRFBZC7UawqXp8P9g5Yfjp8h0U/OXS86csDTx84/v55+/z7++&#10;seXz1KA+QEV5t4EycXjtB1qb2Q/kTLqHNtr0J0WM4tTe06W9akAm06XVcrUqKSQpNh8Iv7i/HiLg&#10;W+UtS0bNI80vt1Uc3wOOqXNKqub8jTYmz9C4vxyEmTxF4j5yTBYOu2EStPPNifTQQ6A6nY9fOetp&#10;DWruaOs5M+8cdTltzGzE2djNhnCSLtYcORvNN5g3KxGB8OqAxC6TTqXHehMjGmaWPS1e2pY/zznr&#10;/rFt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3p6GTdkBAAC0AwAADgAAAAAAAAABACAA&#10;AAAeAQAAZHJzL2Uyb0RvYy54bWxQSwUGAAAAAAYABgBZAQAAaQU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117</w:t>
                          </w:r>
                          <w:r>
                            <w:fldChar w:fldCharType="end"/>
                          </w:r>
                        </w:p>
                      </w:txbxContent>
                    </wps:txbx>
                    <wps:bodyPr vert="horz" wrap="none" lIns="0" tIns="0" rIns="0" bIns="0" anchor="t" anchorCtr="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UtkBAAC0AwAADgAAAGRycy9lMm9Eb2MueG1srVPNjtMwEL4j8Q6W&#10;7zTZIlCJmq6AahESAqSFB3Adp7HkP3mmTcoDwBtw4sKd5+pzMHaSLiyXPXBJxjPjb75vZry+Hqxh&#10;RxVBe1fzq0XJmXLSN9rta/75082TFWeAwjXCeKdqflLArzePH637UKml77xpVGQE4qDqQ807xFAV&#10;BchOWQELH5SjYOujFUjHuC+aKHpCt6ZYluXzovexCdFLBUDe7RjkE2J8CKBvWy3V1suDVQ5H1KiM&#10;QJIEnQ7AN5lt2yqJH9oWFDJTc1KK+UtFyN6lb7FZi2ofRei0nCiIh1C4p8kK7ajoBWorULBD1P9A&#10;WS2jB9/iQnpbjEJyR0jFVXmvN7edCCproVZDuDQd/h+sfH/8GJluav7iKWdOWJr4+fu3849f559f&#10;2fJZalAfoKK820CZOLzyA63N7AdyJt1DG236kyJGcWrv6dJeNSCT6dJquVqVFJIUmw+EX9xdDxHw&#10;jfKWJaPmkeaX2yqO7wDH1DklVXP+RhuTZ2jcXw7CTJ4icR85JguH3TAJ2vnmRHroIVCdzscvnPW0&#10;BjV3tPWcmbeOupw2ZjbibOxmQzhJF2uOnI3ma8yblYhAeHlAYpdJp9JjvYkRDTPLnhYvbcuf55x1&#10;99g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f/OQUtkBAAC0AwAADgAAAAAAAAABACAA&#10;AAAeAQAAZHJzL2Uyb0RvYy54bWxQSwUGAAAAAAYABgBZAQAAaQUAAAAA&#10;">
              <v:fill on="f" focussize="0,0"/>
              <v:stroke on="f"/>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pacing w:line="240" w:lineRule="auto"/>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300"/>
      <w:jc w:val="center"/>
      <w:rPr>
        <w:sz w:val="15"/>
        <w:szCs w:val="15"/>
      </w:rPr>
    </w:pPr>
    <w:r>
      <w:rPr>
        <w:rFonts w:hint="eastAsia"/>
        <w:bCs/>
        <w:sz w:val="15"/>
        <w:szCs w:val="15"/>
      </w:rPr>
      <w:t>智能木业机械设备制造项目</w:t>
    </w:r>
    <w:r>
      <w:rPr>
        <w:bCs/>
        <w:sz w:val="15"/>
        <w:szCs w:val="15"/>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B6AC5"/>
    <w:multiLevelType w:val="singleLevel"/>
    <w:tmpl w:val="800B6AC5"/>
    <w:lvl w:ilvl="0" w:tentative="0">
      <w:start w:val="1"/>
      <w:numFmt w:val="decimal"/>
      <w:lvlText w:val="(%1)"/>
      <w:lvlJc w:val="left"/>
      <w:pPr>
        <w:ind w:left="425" w:hanging="425"/>
      </w:pPr>
      <w:rPr>
        <w:rFonts w:hint="default"/>
      </w:rPr>
    </w:lvl>
  </w:abstractNum>
  <w:abstractNum w:abstractNumId="1">
    <w:nsid w:val="9342E477"/>
    <w:multiLevelType w:val="singleLevel"/>
    <w:tmpl w:val="9342E477"/>
    <w:lvl w:ilvl="0" w:tentative="0">
      <w:start w:val="2"/>
      <w:numFmt w:val="decimal"/>
      <w:suff w:val="space"/>
      <w:lvlText w:val="(%1)"/>
      <w:lvlJc w:val="left"/>
    </w:lvl>
  </w:abstractNum>
  <w:abstractNum w:abstractNumId="2">
    <w:nsid w:val="95208219"/>
    <w:multiLevelType w:val="singleLevel"/>
    <w:tmpl w:val="95208219"/>
    <w:lvl w:ilvl="0" w:tentative="0">
      <w:start w:val="2"/>
      <w:numFmt w:val="decimal"/>
      <w:suff w:val="space"/>
      <w:lvlText w:val="(%1)"/>
      <w:lvlJc w:val="left"/>
    </w:lvl>
  </w:abstractNum>
  <w:abstractNum w:abstractNumId="3">
    <w:nsid w:val="A9DED7BD"/>
    <w:multiLevelType w:val="singleLevel"/>
    <w:tmpl w:val="A9DED7BD"/>
    <w:lvl w:ilvl="0" w:tentative="0">
      <w:start w:val="5"/>
      <w:numFmt w:val="chineseCounting"/>
      <w:suff w:val="space"/>
      <w:lvlText w:val="第%1章"/>
      <w:lvlJc w:val="left"/>
      <w:rPr>
        <w:rFonts w:hint="eastAsia"/>
      </w:rPr>
    </w:lvl>
  </w:abstractNum>
  <w:abstractNum w:abstractNumId="4">
    <w:nsid w:val="AFBEEBA0"/>
    <w:multiLevelType w:val="singleLevel"/>
    <w:tmpl w:val="AFBEEBA0"/>
    <w:lvl w:ilvl="0" w:tentative="0">
      <w:start w:val="1"/>
      <w:numFmt w:val="decimal"/>
      <w:suff w:val="nothing"/>
      <w:lvlText w:val="%1、"/>
      <w:lvlJc w:val="left"/>
    </w:lvl>
  </w:abstractNum>
  <w:abstractNum w:abstractNumId="5">
    <w:nsid w:val="B0239487"/>
    <w:multiLevelType w:val="singleLevel"/>
    <w:tmpl w:val="B0239487"/>
    <w:lvl w:ilvl="0" w:tentative="0">
      <w:start w:val="1"/>
      <w:numFmt w:val="decimal"/>
      <w:suff w:val="nothing"/>
      <w:lvlText w:val="%1、"/>
      <w:lvlJc w:val="left"/>
    </w:lvl>
  </w:abstractNum>
  <w:abstractNum w:abstractNumId="6">
    <w:nsid w:val="121C29B3"/>
    <w:multiLevelType w:val="singleLevel"/>
    <w:tmpl w:val="121C29B3"/>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7">
    <w:nsid w:val="2E69B940"/>
    <w:multiLevelType w:val="singleLevel"/>
    <w:tmpl w:val="2E69B940"/>
    <w:lvl w:ilvl="0" w:tentative="0">
      <w:start w:val="1"/>
      <w:numFmt w:val="decimal"/>
      <w:suff w:val="nothing"/>
      <w:lvlText w:val="%1、"/>
      <w:lvlJc w:val="left"/>
      <w:pPr>
        <w:ind w:left="60"/>
      </w:pPr>
    </w:lvl>
  </w:abstractNum>
  <w:abstractNum w:abstractNumId="8">
    <w:nsid w:val="32FE0099"/>
    <w:multiLevelType w:val="singleLevel"/>
    <w:tmpl w:val="32FE0099"/>
    <w:lvl w:ilvl="0" w:tentative="0">
      <w:start w:val="1"/>
      <w:numFmt w:val="decimal"/>
      <w:suff w:val="nothing"/>
      <w:lvlText w:val="%1、"/>
      <w:lvlJc w:val="left"/>
    </w:lvl>
  </w:abstractNum>
  <w:num w:numId="1">
    <w:abstractNumId w:val="6"/>
  </w:num>
  <w:num w:numId="2">
    <w:abstractNumId w:val="0"/>
  </w:num>
  <w:num w:numId="3">
    <w:abstractNumId w:val="5"/>
  </w:num>
  <w:num w:numId="4">
    <w:abstractNumId w:val="7"/>
  </w:num>
  <w:num w:numId="5">
    <w:abstractNumId w:val="3"/>
  </w:num>
  <w:num w:numId="6">
    <w:abstractNumId w:val="8"/>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210"/>
  <w:drawingGridVerticalSpacing w:val="168"/>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wMmY2YzEzNzU2MjA5MDE4NzFhOWViZWJhMGVkMDcifQ=="/>
  </w:docVars>
  <w:rsids>
    <w:rsidRoot w:val="00172A27"/>
    <w:rsid w:val="00026F61"/>
    <w:rsid w:val="00037F49"/>
    <w:rsid w:val="000617C1"/>
    <w:rsid w:val="00074DB1"/>
    <w:rsid w:val="00086FD4"/>
    <w:rsid w:val="00091F03"/>
    <w:rsid w:val="000A186C"/>
    <w:rsid w:val="000B18D6"/>
    <w:rsid w:val="000C358A"/>
    <w:rsid w:val="000C6D84"/>
    <w:rsid w:val="000D403C"/>
    <w:rsid w:val="000D6D13"/>
    <w:rsid w:val="000E4D17"/>
    <w:rsid w:val="000F1F99"/>
    <w:rsid w:val="000F4118"/>
    <w:rsid w:val="000F66F3"/>
    <w:rsid w:val="0010279B"/>
    <w:rsid w:val="00132DB7"/>
    <w:rsid w:val="0013522B"/>
    <w:rsid w:val="0015141E"/>
    <w:rsid w:val="00161643"/>
    <w:rsid w:val="001649CD"/>
    <w:rsid w:val="00164C19"/>
    <w:rsid w:val="001657AA"/>
    <w:rsid w:val="00172A27"/>
    <w:rsid w:val="001922E3"/>
    <w:rsid w:val="00194238"/>
    <w:rsid w:val="001B4058"/>
    <w:rsid w:val="001B6356"/>
    <w:rsid w:val="001D3B39"/>
    <w:rsid w:val="001D49CF"/>
    <w:rsid w:val="001E6FA6"/>
    <w:rsid w:val="001F2851"/>
    <w:rsid w:val="001F502A"/>
    <w:rsid w:val="00212284"/>
    <w:rsid w:val="00212F22"/>
    <w:rsid w:val="00216ED1"/>
    <w:rsid w:val="00224C23"/>
    <w:rsid w:val="002319E5"/>
    <w:rsid w:val="002337BC"/>
    <w:rsid w:val="00275F28"/>
    <w:rsid w:val="00276E33"/>
    <w:rsid w:val="002774E7"/>
    <w:rsid w:val="0028489F"/>
    <w:rsid w:val="00290734"/>
    <w:rsid w:val="002B06AD"/>
    <w:rsid w:val="002B439F"/>
    <w:rsid w:val="002B4C64"/>
    <w:rsid w:val="002D2404"/>
    <w:rsid w:val="002D7328"/>
    <w:rsid w:val="00301469"/>
    <w:rsid w:val="00310DE2"/>
    <w:rsid w:val="00312369"/>
    <w:rsid w:val="0033244B"/>
    <w:rsid w:val="003327C6"/>
    <w:rsid w:val="00355B69"/>
    <w:rsid w:val="003574CB"/>
    <w:rsid w:val="00363BAE"/>
    <w:rsid w:val="00366782"/>
    <w:rsid w:val="00370FB8"/>
    <w:rsid w:val="0037576F"/>
    <w:rsid w:val="0037658B"/>
    <w:rsid w:val="0038025B"/>
    <w:rsid w:val="00381503"/>
    <w:rsid w:val="00383D8D"/>
    <w:rsid w:val="003971EE"/>
    <w:rsid w:val="003A15CA"/>
    <w:rsid w:val="003C45A9"/>
    <w:rsid w:val="003D44E5"/>
    <w:rsid w:val="003F77E9"/>
    <w:rsid w:val="00406C30"/>
    <w:rsid w:val="00414A33"/>
    <w:rsid w:val="00421D1C"/>
    <w:rsid w:val="00430699"/>
    <w:rsid w:val="0043228D"/>
    <w:rsid w:val="0043436D"/>
    <w:rsid w:val="00460723"/>
    <w:rsid w:val="00463B1F"/>
    <w:rsid w:val="00466D89"/>
    <w:rsid w:val="00473FD6"/>
    <w:rsid w:val="00474360"/>
    <w:rsid w:val="00475937"/>
    <w:rsid w:val="004761A5"/>
    <w:rsid w:val="00495870"/>
    <w:rsid w:val="004A7912"/>
    <w:rsid w:val="004B140D"/>
    <w:rsid w:val="004D395F"/>
    <w:rsid w:val="004E0B74"/>
    <w:rsid w:val="004E3980"/>
    <w:rsid w:val="004E51FD"/>
    <w:rsid w:val="004F6CF6"/>
    <w:rsid w:val="00504BAD"/>
    <w:rsid w:val="00506D0C"/>
    <w:rsid w:val="0051050A"/>
    <w:rsid w:val="0052120D"/>
    <w:rsid w:val="00524E5F"/>
    <w:rsid w:val="00541377"/>
    <w:rsid w:val="00544A65"/>
    <w:rsid w:val="00544F2E"/>
    <w:rsid w:val="00550606"/>
    <w:rsid w:val="00552E94"/>
    <w:rsid w:val="005562A0"/>
    <w:rsid w:val="00566848"/>
    <w:rsid w:val="0057073A"/>
    <w:rsid w:val="00585759"/>
    <w:rsid w:val="00594013"/>
    <w:rsid w:val="00597CE7"/>
    <w:rsid w:val="005A3A27"/>
    <w:rsid w:val="005C6DD1"/>
    <w:rsid w:val="005E0816"/>
    <w:rsid w:val="005E799A"/>
    <w:rsid w:val="00601569"/>
    <w:rsid w:val="0060685A"/>
    <w:rsid w:val="00610A61"/>
    <w:rsid w:val="006166A9"/>
    <w:rsid w:val="006237B0"/>
    <w:rsid w:val="00630EC9"/>
    <w:rsid w:val="006339CB"/>
    <w:rsid w:val="00650A90"/>
    <w:rsid w:val="006558DD"/>
    <w:rsid w:val="00661709"/>
    <w:rsid w:val="00670851"/>
    <w:rsid w:val="006717B5"/>
    <w:rsid w:val="00676C89"/>
    <w:rsid w:val="0068040F"/>
    <w:rsid w:val="006904D9"/>
    <w:rsid w:val="00694FF9"/>
    <w:rsid w:val="00697094"/>
    <w:rsid w:val="0069744B"/>
    <w:rsid w:val="006B76CD"/>
    <w:rsid w:val="006C0C86"/>
    <w:rsid w:val="006D14FA"/>
    <w:rsid w:val="007029EA"/>
    <w:rsid w:val="00716526"/>
    <w:rsid w:val="00726039"/>
    <w:rsid w:val="00732EF4"/>
    <w:rsid w:val="00734F97"/>
    <w:rsid w:val="0073560A"/>
    <w:rsid w:val="0076171B"/>
    <w:rsid w:val="0076665A"/>
    <w:rsid w:val="00784FEA"/>
    <w:rsid w:val="00785262"/>
    <w:rsid w:val="00785B97"/>
    <w:rsid w:val="007A3AB6"/>
    <w:rsid w:val="007A7BFD"/>
    <w:rsid w:val="007C6E00"/>
    <w:rsid w:val="0080317B"/>
    <w:rsid w:val="00803E82"/>
    <w:rsid w:val="00804736"/>
    <w:rsid w:val="00805850"/>
    <w:rsid w:val="008115EC"/>
    <w:rsid w:val="00814795"/>
    <w:rsid w:val="0083481B"/>
    <w:rsid w:val="00842A02"/>
    <w:rsid w:val="00856AD8"/>
    <w:rsid w:val="008749B8"/>
    <w:rsid w:val="00881307"/>
    <w:rsid w:val="008847D5"/>
    <w:rsid w:val="0088654A"/>
    <w:rsid w:val="00887DF6"/>
    <w:rsid w:val="008C314D"/>
    <w:rsid w:val="008C3DC9"/>
    <w:rsid w:val="008D2BDD"/>
    <w:rsid w:val="008E0846"/>
    <w:rsid w:val="008E65A2"/>
    <w:rsid w:val="00917B03"/>
    <w:rsid w:val="009229BE"/>
    <w:rsid w:val="00935E69"/>
    <w:rsid w:val="0094056B"/>
    <w:rsid w:val="0094595D"/>
    <w:rsid w:val="009478D6"/>
    <w:rsid w:val="00954DBF"/>
    <w:rsid w:val="00956ABE"/>
    <w:rsid w:val="00962E92"/>
    <w:rsid w:val="00965F85"/>
    <w:rsid w:val="0096752A"/>
    <w:rsid w:val="009712AC"/>
    <w:rsid w:val="00985D27"/>
    <w:rsid w:val="00992DBC"/>
    <w:rsid w:val="00995917"/>
    <w:rsid w:val="009A41AC"/>
    <w:rsid w:val="009A42E5"/>
    <w:rsid w:val="009D6110"/>
    <w:rsid w:val="009D76FD"/>
    <w:rsid w:val="009F145A"/>
    <w:rsid w:val="009F3505"/>
    <w:rsid w:val="009F59E8"/>
    <w:rsid w:val="00A00FA5"/>
    <w:rsid w:val="00A1543A"/>
    <w:rsid w:val="00A3164F"/>
    <w:rsid w:val="00A36446"/>
    <w:rsid w:val="00A41131"/>
    <w:rsid w:val="00A60064"/>
    <w:rsid w:val="00A62A18"/>
    <w:rsid w:val="00A827A2"/>
    <w:rsid w:val="00A970D5"/>
    <w:rsid w:val="00A9781C"/>
    <w:rsid w:val="00AA3F78"/>
    <w:rsid w:val="00AA4442"/>
    <w:rsid w:val="00AA4A20"/>
    <w:rsid w:val="00AB0EDB"/>
    <w:rsid w:val="00AB12A5"/>
    <w:rsid w:val="00AB1562"/>
    <w:rsid w:val="00AB7F99"/>
    <w:rsid w:val="00AB7FD7"/>
    <w:rsid w:val="00AC06D8"/>
    <w:rsid w:val="00AC383E"/>
    <w:rsid w:val="00AC3862"/>
    <w:rsid w:val="00AC4997"/>
    <w:rsid w:val="00AD57FB"/>
    <w:rsid w:val="00AD742E"/>
    <w:rsid w:val="00AE4B58"/>
    <w:rsid w:val="00AF1AD7"/>
    <w:rsid w:val="00AF4C5D"/>
    <w:rsid w:val="00B06412"/>
    <w:rsid w:val="00B2227E"/>
    <w:rsid w:val="00B320EB"/>
    <w:rsid w:val="00B336F9"/>
    <w:rsid w:val="00B361F9"/>
    <w:rsid w:val="00B37598"/>
    <w:rsid w:val="00B44C99"/>
    <w:rsid w:val="00B44ECE"/>
    <w:rsid w:val="00B503E9"/>
    <w:rsid w:val="00B627E9"/>
    <w:rsid w:val="00B65FD7"/>
    <w:rsid w:val="00B8161A"/>
    <w:rsid w:val="00B83539"/>
    <w:rsid w:val="00B87A8B"/>
    <w:rsid w:val="00B96CE1"/>
    <w:rsid w:val="00BA01E8"/>
    <w:rsid w:val="00BB445A"/>
    <w:rsid w:val="00BB44BC"/>
    <w:rsid w:val="00BC046F"/>
    <w:rsid w:val="00BC212C"/>
    <w:rsid w:val="00BC23B6"/>
    <w:rsid w:val="00BD0B50"/>
    <w:rsid w:val="00BD1498"/>
    <w:rsid w:val="00BF2847"/>
    <w:rsid w:val="00BF6106"/>
    <w:rsid w:val="00C06C24"/>
    <w:rsid w:val="00C23E2B"/>
    <w:rsid w:val="00C24341"/>
    <w:rsid w:val="00C30095"/>
    <w:rsid w:val="00C313BB"/>
    <w:rsid w:val="00C33563"/>
    <w:rsid w:val="00C37276"/>
    <w:rsid w:val="00C410DC"/>
    <w:rsid w:val="00C42262"/>
    <w:rsid w:val="00C43DDE"/>
    <w:rsid w:val="00C43E0E"/>
    <w:rsid w:val="00C45183"/>
    <w:rsid w:val="00C51002"/>
    <w:rsid w:val="00C52FEC"/>
    <w:rsid w:val="00C56A22"/>
    <w:rsid w:val="00C60F9F"/>
    <w:rsid w:val="00C661C9"/>
    <w:rsid w:val="00C703E0"/>
    <w:rsid w:val="00C843F0"/>
    <w:rsid w:val="00C92208"/>
    <w:rsid w:val="00CA7338"/>
    <w:rsid w:val="00CA7560"/>
    <w:rsid w:val="00CD13CE"/>
    <w:rsid w:val="00CD5ED9"/>
    <w:rsid w:val="00CF03A7"/>
    <w:rsid w:val="00CF3752"/>
    <w:rsid w:val="00CF722E"/>
    <w:rsid w:val="00D00F55"/>
    <w:rsid w:val="00D074CA"/>
    <w:rsid w:val="00D10F4F"/>
    <w:rsid w:val="00D12F37"/>
    <w:rsid w:val="00D17AEE"/>
    <w:rsid w:val="00D3357E"/>
    <w:rsid w:val="00D455CF"/>
    <w:rsid w:val="00D52D7C"/>
    <w:rsid w:val="00D6331A"/>
    <w:rsid w:val="00D634D0"/>
    <w:rsid w:val="00D66498"/>
    <w:rsid w:val="00D70233"/>
    <w:rsid w:val="00D9087A"/>
    <w:rsid w:val="00D93362"/>
    <w:rsid w:val="00DB694C"/>
    <w:rsid w:val="00DC2F48"/>
    <w:rsid w:val="00DD178C"/>
    <w:rsid w:val="00DD630B"/>
    <w:rsid w:val="00DE298B"/>
    <w:rsid w:val="00E02435"/>
    <w:rsid w:val="00E24F90"/>
    <w:rsid w:val="00E265C6"/>
    <w:rsid w:val="00E308DF"/>
    <w:rsid w:val="00E438F1"/>
    <w:rsid w:val="00E44EAD"/>
    <w:rsid w:val="00E7496C"/>
    <w:rsid w:val="00E85B89"/>
    <w:rsid w:val="00EA1998"/>
    <w:rsid w:val="00EB7C4F"/>
    <w:rsid w:val="00EC065E"/>
    <w:rsid w:val="00EC19EA"/>
    <w:rsid w:val="00ED53E8"/>
    <w:rsid w:val="00EE1B82"/>
    <w:rsid w:val="00EE323E"/>
    <w:rsid w:val="00EE6477"/>
    <w:rsid w:val="00EF3CD0"/>
    <w:rsid w:val="00EF761F"/>
    <w:rsid w:val="00F040A5"/>
    <w:rsid w:val="00F134D5"/>
    <w:rsid w:val="00F15B2F"/>
    <w:rsid w:val="00F16327"/>
    <w:rsid w:val="00F201F6"/>
    <w:rsid w:val="00F20FAF"/>
    <w:rsid w:val="00F32EEA"/>
    <w:rsid w:val="00F44EA1"/>
    <w:rsid w:val="00F563A4"/>
    <w:rsid w:val="00F62575"/>
    <w:rsid w:val="00F7350D"/>
    <w:rsid w:val="00F83550"/>
    <w:rsid w:val="00F90305"/>
    <w:rsid w:val="00F97203"/>
    <w:rsid w:val="00FA0261"/>
    <w:rsid w:val="00FB09B3"/>
    <w:rsid w:val="00FB0A24"/>
    <w:rsid w:val="00FB1ED3"/>
    <w:rsid w:val="00FB6183"/>
    <w:rsid w:val="00FD0BA5"/>
    <w:rsid w:val="00FD6E41"/>
    <w:rsid w:val="00FE3FD5"/>
    <w:rsid w:val="010063E1"/>
    <w:rsid w:val="010A478A"/>
    <w:rsid w:val="010B76FE"/>
    <w:rsid w:val="01113D6B"/>
    <w:rsid w:val="01155068"/>
    <w:rsid w:val="01193A04"/>
    <w:rsid w:val="012B4701"/>
    <w:rsid w:val="012E182E"/>
    <w:rsid w:val="01300309"/>
    <w:rsid w:val="01301909"/>
    <w:rsid w:val="0130709D"/>
    <w:rsid w:val="013730A5"/>
    <w:rsid w:val="01390CA6"/>
    <w:rsid w:val="01422176"/>
    <w:rsid w:val="01452A91"/>
    <w:rsid w:val="014843F5"/>
    <w:rsid w:val="01487061"/>
    <w:rsid w:val="014B7280"/>
    <w:rsid w:val="014D6FFD"/>
    <w:rsid w:val="01544C19"/>
    <w:rsid w:val="015F3F8C"/>
    <w:rsid w:val="01620FC7"/>
    <w:rsid w:val="01653CDB"/>
    <w:rsid w:val="01656096"/>
    <w:rsid w:val="016827B3"/>
    <w:rsid w:val="01683564"/>
    <w:rsid w:val="01773589"/>
    <w:rsid w:val="01786536"/>
    <w:rsid w:val="017D7DA0"/>
    <w:rsid w:val="017E2D66"/>
    <w:rsid w:val="017F5A80"/>
    <w:rsid w:val="0183734F"/>
    <w:rsid w:val="01891542"/>
    <w:rsid w:val="019022F4"/>
    <w:rsid w:val="01911572"/>
    <w:rsid w:val="0194345E"/>
    <w:rsid w:val="0195504B"/>
    <w:rsid w:val="01990CED"/>
    <w:rsid w:val="019D3686"/>
    <w:rsid w:val="01A36061"/>
    <w:rsid w:val="01AC31AB"/>
    <w:rsid w:val="01B478E6"/>
    <w:rsid w:val="01B7065B"/>
    <w:rsid w:val="01B94F5B"/>
    <w:rsid w:val="01BD76F6"/>
    <w:rsid w:val="01BF6C8A"/>
    <w:rsid w:val="01C51A04"/>
    <w:rsid w:val="01C71F61"/>
    <w:rsid w:val="01CB0881"/>
    <w:rsid w:val="01D06F6E"/>
    <w:rsid w:val="01D13471"/>
    <w:rsid w:val="01D31B03"/>
    <w:rsid w:val="01D50264"/>
    <w:rsid w:val="01D62854"/>
    <w:rsid w:val="01D6337A"/>
    <w:rsid w:val="01E3036C"/>
    <w:rsid w:val="01E6762E"/>
    <w:rsid w:val="01EC5FCC"/>
    <w:rsid w:val="01EE79F2"/>
    <w:rsid w:val="01F127D4"/>
    <w:rsid w:val="01F30277"/>
    <w:rsid w:val="01F314BF"/>
    <w:rsid w:val="01F87C49"/>
    <w:rsid w:val="01F9151E"/>
    <w:rsid w:val="01FD2903"/>
    <w:rsid w:val="020236B3"/>
    <w:rsid w:val="02057964"/>
    <w:rsid w:val="02057FA6"/>
    <w:rsid w:val="0208091F"/>
    <w:rsid w:val="020A0B18"/>
    <w:rsid w:val="020A1464"/>
    <w:rsid w:val="020B4CCA"/>
    <w:rsid w:val="02111BDD"/>
    <w:rsid w:val="021D6317"/>
    <w:rsid w:val="021F0B7C"/>
    <w:rsid w:val="021F4707"/>
    <w:rsid w:val="02200495"/>
    <w:rsid w:val="0220755F"/>
    <w:rsid w:val="022A0825"/>
    <w:rsid w:val="02357567"/>
    <w:rsid w:val="023C3B5B"/>
    <w:rsid w:val="02444DFD"/>
    <w:rsid w:val="02481207"/>
    <w:rsid w:val="025A5133"/>
    <w:rsid w:val="025F172F"/>
    <w:rsid w:val="02665A16"/>
    <w:rsid w:val="02682A29"/>
    <w:rsid w:val="026F01EE"/>
    <w:rsid w:val="027C56ED"/>
    <w:rsid w:val="027D40AB"/>
    <w:rsid w:val="027E5ABF"/>
    <w:rsid w:val="0285252C"/>
    <w:rsid w:val="02876D4C"/>
    <w:rsid w:val="028A2E8D"/>
    <w:rsid w:val="028B3987"/>
    <w:rsid w:val="028F000A"/>
    <w:rsid w:val="02962B49"/>
    <w:rsid w:val="029702A0"/>
    <w:rsid w:val="02984036"/>
    <w:rsid w:val="02A3020C"/>
    <w:rsid w:val="02AB1C7A"/>
    <w:rsid w:val="02B0310F"/>
    <w:rsid w:val="02B42EDF"/>
    <w:rsid w:val="02BE6F98"/>
    <w:rsid w:val="02C07749"/>
    <w:rsid w:val="02C17DC4"/>
    <w:rsid w:val="02C2620C"/>
    <w:rsid w:val="02CA0A21"/>
    <w:rsid w:val="02CB0A06"/>
    <w:rsid w:val="02CB7B88"/>
    <w:rsid w:val="02D03A8A"/>
    <w:rsid w:val="02D05560"/>
    <w:rsid w:val="02DA10D2"/>
    <w:rsid w:val="02DE405F"/>
    <w:rsid w:val="02E3361D"/>
    <w:rsid w:val="02E43D6C"/>
    <w:rsid w:val="02ED7B14"/>
    <w:rsid w:val="02EF6ADE"/>
    <w:rsid w:val="02F47983"/>
    <w:rsid w:val="02F545A2"/>
    <w:rsid w:val="02F71C9E"/>
    <w:rsid w:val="02F92D08"/>
    <w:rsid w:val="03023B40"/>
    <w:rsid w:val="030437D5"/>
    <w:rsid w:val="03053B5B"/>
    <w:rsid w:val="0308298C"/>
    <w:rsid w:val="030F2D2B"/>
    <w:rsid w:val="03195159"/>
    <w:rsid w:val="0326394E"/>
    <w:rsid w:val="0331688E"/>
    <w:rsid w:val="034665C0"/>
    <w:rsid w:val="034669A8"/>
    <w:rsid w:val="03485C8E"/>
    <w:rsid w:val="03565DA5"/>
    <w:rsid w:val="03580D2A"/>
    <w:rsid w:val="0358464D"/>
    <w:rsid w:val="035E275E"/>
    <w:rsid w:val="035E4919"/>
    <w:rsid w:val="036032F2"/>
    <w:rsid w:val="03611133"/>
    <w:rsid w:val="0363560B"/>
    <w:rsid w:val="036D2DAF"/>
    <w:rsid w:val="036F10E2"/>
    <w:rsid w:val="03785D4A"/>
    <w:rsid w:val="0379245F"/>
    <w:rsid w:val="03803F33"/>
    <w:rsid w:val="03824142"/>
    <w:rsid w:val="0388571B"/>
    <w:rsid w:val="03895FEE"/>
    <w:rsid w:val="03925E24"/>
    <w:rsid w:val="03941DA5"/>
    <w:rsid w:val="039443B8"/>
    <w:rsid w:val="039E7FCB"/>
    <w:rsid w:val="03A515BB"/>
    <w:rsid w:val="03B32A07"/>
    <w:rsid w:val="03B83E28"/>
    <w:rsid w:val="03C869C7"/>
    <w:rsid w:val="03CA649B"/>
    <w:rsid w:val="03CA6C22"/>
    <w:rsid w:val="03CC7649"/>
    <w:rsid w:val="03D03615"/>
    <w:rsid w:val="03D43719"/>
    <w:rsid w:val="03D82187"/>
    <w:rsid w:val="03D83487"/>
    <w:rsid w:val="03DC638A"/>
    <w:rsid w:val="03E61E0B"/>
    <w:rsid w:val="03E72B61"/>
    <w:rsid w:val="03EA6F94"/>
    <w:rsid w:val="03EB1214"/>
    <w:rsid w:val="03F11C32"/>
    <w:rsid w:val="03F92894"/>
    <w:rsid w:val="03FB03BA"/>
    <w:rsid w:val="03FE5CF6"/>
    <w:rsid w:val="0406152C"/>
    <w:rsid w:val="04086EC6"/>
    <w:rsid w:val="040A7C52"/>
    <w:rsid w:val="040E755E"/>
    <w:rsid w:val="04152BC8"/>
    <w:rsid w:val="04167C79"/>
    <w:rsid w:val="0418171E"/>
    <w:rsid w:val="041A7819"/>
    <w:rsid w:val="041C69A4"/>
    <w:rsid w:val="042276DC"/>
    <w:rsid w:val="04244E1F"/>
    <w:rsid w:val="04245B63"/>
    <w:rsid w:val="04293250"/>
    <w:rsid w:val="042E42EE"/>
    <w:rsid w:val="04335DA6"/>
    <w:rsid w:val="043449DC"/>
    <w:rsid w:val="04364FA5"/>
    <w:rsid w:val="043B4264"/>
    <w:rsid w:val="043B48D0"/>
    <w:rsid w:val="043C293F"/>
    <w:rsid w:val="044030B3"/>
    <w:rsid w:val="04473787"/>
    <w:rsid w:val="04492331"/>
    <w:rsid w:val="044E38CC"/>
    <w:rsid w:val="04646093"/>
    <w:rsid w:val="046515A2"/>
    <w:rsid w:val="04692F90"/>
    <w:rsid w:val="04775922"/>
    <w:rsid w:val="04797892"/>
    <w:rsid w:val="048013C4"/>
    <w:rsid w:val="048B0036"/>
    <w:rsid w:val="048B46F0"/>
    <w:rsid w:val="048F3E9D"/>
    <w:rsid w:val="049C150C"/>
    <w:rsid w:val="049E23AC"/>
    <w:rsid w:val="04A5242C"/>
    <w:rsid w:val="04AA5E67"/>
    <w:rsid w:val="04AB265F"/>
    <w:rsid w:val="04AD7FF2"/>
    <w:rsid w:val="04AE4A5B"/>
    <w:rsid w:val="04B035B2"/>
    <w:rsid w:val="04B055DB"/>
    <w:rsid w:val="04B111D3"/>
    <w:rsid w:val="04B50112"/>
    <w:rsid w:val="04C106C5"/>
    <w:rsid w:val="04C609C8"/>
    <w:rsid w:val="04CE562F"/>
    <w:rsid w:val="04CE5807"/>
    <w:rsid w:val="04D151A0"/>
    <w:rsid w:val="04D641B5"/>
    <w:rsid w:val="04D71461"/>
    <w:rsid w:val="04DF3FD6"/>
    <w:rsid w:val="04E74E13"/>
    <w:rsid w:val="04E75626"/>
    <w:rsid w:val="04E82BE7"/>
    <w:rsid w:val="04E86B91"/>
    <w:rsid w:val="04E87307"/>
    <w:rsid w:val="04F21D9E"/>
    <w:rsid w:val="04F42437"/>
    <w:rsid w:val="04F5724A"/>
    <w:rsid w:val="04F95140"/>
    <w:rsid w:val="05053358"/>
    <w:rsid w:val="050B5F4A"/>
    <w:rsid w:val="051205FB"/>
    <w:rsid w:val="051302B7"/>
    <w:rsid w:val="05177476"/>
    <w:rsid w:val="051E78D2"/>
    <w:rsid w:val="05205624"/>
    <w:rsid w:val="05224490"/>
    <w:rsid w:val="052250FC"/>
    <w:rsid w:val="052A5C6B"/>
    <w:rsid w:val="05344D2B"/>
    <w:rsid w:val="05346469"/>
    <w:rsid w:val="05356ED4"/>
    <w:rsid w:val="053578FC"/>
    <w:rsid w:val="05377291"/>
    <w:rsid w:val="05382B9E"/>
    <w:rsid w:val="05387A43"/>
    <w:rsid w:val="053A1427"/>
    <w:rsid w:val="053F1F01"/>
    <w:rsid w:val="05436DAA"/>
    <w:rsid w:val="05456B7A"/>
    <w:rsid w:val="054E09BE"/>
    <w:rsid w:val="05514369"/>
    <w:rsid w:val="055C20AF"/>
    <w:rsid w:val="055C35E7"/>
    <w:rsid w:val="05627E40"/>
    <w:rsid w:val="0565695E"/>
    <w:rsid w:val="056621AB"/>
    <w:rsid w:val="05695603"/>
    <w:rsid w:val="056A6B96"/>
    <w:rsid w:val="05750A4E"/>
    <w:rsid w:val="057C6ECC"/>
    <w:rsid w:val="057D7492"/>
    <w:rsid w:val="057E0083"/>
    <w:rsid w:val="057E4735"/>
    <w:rsid w:val="057E6466"/>
    <w:rsid w:val="05800248"/>
    <w:rsid w:val="05803E4B"/>
    <w:rsid w:val="05881E40"/>
    <w:rsid w:val="059105AD"/>
    <w:rsid w:val="05A45B73"/>
    <w:rsid w:val="05A625A8"/>
    <w:rsid w:val="05A75C40"/>
    <w:rsid w:val="05AA5F83"/>
    <w:rsid w:val="05B15DEA"/>
    <w:rsid w:val="05B42395"/>
    <w:rsid w:val="05BC4405"/>
    <w:rsid w:val="05BD2CB7"/>
    <w:rsid w:val="05C018BB"/>
    <w:rsid w:val="05C1792B"/>
    <w:rsid w:val="05C5375F"/>
    <w:rsid w:val="05C73A2E"/>
    <w:rsid w:val="05C86D02"/>
    <w:rsid w:val="05CB20F8"/>
    <w:rsid w:val="05D622AF"/>
    <w:rsid w:val="05D638E8"/>
    <w:rsid w:val="05D8364D"/>
    <w:rsid w:val="05E01F5E"/>
    <w:rsid w:val="05E97064"/>
    <w:rsid w:val="05EA780C"/>
    <w:rsid w:val="05EB36FC"/>
    <w:rsid w:val="05ED4389"/>
    <w:rsid w:val="05F127F6"/>
    <w:rsid w:val="05F14FB8"/>
    <w:rsid w:val="05F239FB"/>
    <w:rsid w:val="06020D60"/>
    <w:rsid w:val="060905E2"/>
    <w:rsid w:val="060B2794"/>
    <w:rsid w:val="060B2C78"/>
    <w:rsid w:val="06126EC3"/>
    <w:rsid w:val="06133F22"/>
    <w:rsid w:val="061555C2"/>
    <w:rsid w:val="061615CD"/>
    <w:rsid w:val="061B1779"/>
    <w:rsid w:val="061E0AD1"/>
    <w:rsid w:val="061E6C22"/>
    <w:rsid w:val="061F63B3"/>
    <w:rsid w:val="06217C9A"/>
    <w:rsid w:val="06263C67"/>
    <w:rsid w:val="062A142B"/>
    <w:rsid w:val="062E084C"/>
    <w:rsid w:val="063907F6"/>
    <w:rsid w:val="063C1155"/>
    <w:rsid w:val="06411FFF"/>
    <w:rsid w:val="06435406"/>
    <w:rsid w:val="064B4FB4"/>
    <w:rsid w:val="064E6CF3"/>
    <w:rsid w:val="0651205C"/>
    <w:rsid w:val="0659735A"/>
    <w:rsid w:val="06672DA2"/>
    <w:rsid w:val="06675D4D"/>
    <w:rsid w:val="066C29E6"/>
    <w:rsid w:val="066E325C"/>
    <w:rsid w:val="067342E4"/>
    <w:rsid w:val="0673626E"/>
    <w:rsid w:val="067472B7"/>
    <w:rsid w:val="06752199"/>
    <w:rsid w:val="067E7BEA"/>
    <w:rsid w:val="067F52D3"/>
    <w:rsid w:val="068032B4"/>
    <w:rsid w:val="06824DC3"/>
    <w:rsid w:val="068272A1"/>
    <w:rsid w:val="068D36AD"/>
    <w:rsid w:val="06900464"/>
    <w:rsid w:val="06942EE7"/>
    <w:rsid w:val="069561A3"/>
    <w:rsid w:val="069C3942"/>
    <w:rsid w:val="069C58E7"/>
    <w:rsid w:val="069E3353"/>
    <w:rsid w:val="06AB37B3"/>
    <w:rsid w:val="06B0177E"/>
    <w:rsid w:val="06B1221E"/>
    <w:rsid w:val="06B27212"/>
    <w:rsid w:val="06BD157A"/>
    <w:rsid w:val="06C0313E"/>
    <w:rsid w:val="06C45422"/>
    <w:rsid w:val="06C57251"/>
    <w:rsid w:val="06CA0D33"/>
    <w:rsid w:val="06CD6234"/>
    <w:rsid w:val="06CE0008"/>
    <w:rsid w:val="06D3561E"/>
    <w:rsid w:val="06D358D8"/>
    <w:rsid w:val="06D41DC0"/>
    <w:rsid w:val="06D508E0"/>
    <w:rsid w:val="06D549D0"/>
    <w:rsid w:val="06D806C3"/>
    <w:rsid w:val="06DF3FC3"/>
    <w:rsid w:val="06E96AEC"/>
    <w:rsid w:val="06EB2968"/>
    <w:rsid w:val="06F716A3"/>
    <w:rsid w:val="06F9692F"/>
    <w:rsid w:val="06FB7913"/>
    <w:rsid w:val="06FE3494"/>
    <w:rsid w:val="070438AF"/>
    <w:rsid w:val="07046048"/>
    <w:rsid w:val="070927A9"/>
    <w:rsid w:val="070B0A94"/>
    <w:rsid w:val="071043BD"/>
    <w:rsid w:val="07107DD7"/>
    <w:rsid w:val="07117E08"/>
    <w:rsid w:val="07184211"/>
    <w:rsid w:val="071C5C34"/>
    <w:rsid w:val="071D641E"/>
    <w:rsid w:val="071F3342"/>
    <w:rsid w:val="072563C2"/>
    <w:rsid w:val="0726392B"/>
    <w:rsid w:val="07263FB3"/>
    <w:rsid w:val="072B6EC0"/>
    <w:rsid w:val="073004EE"/>
    <w:rsid w:val="073342E6"/>
    <w:rsid w:val="0736531E"/>
    <w:rsid w:val="0737795B"/>
    <w:rsid w:val="07395D85"/>
    <w:rsid w:val="073B195B"/>
    <w:rsid w:val="07473102"/>
    <w:rsid w:val="074A679C"/>
    <w:rsid w:val="074D42F0"/>
    <w:rsid w:val="074E547C"/>
    <w:rsid w:val="075548BD"/>
    <w:rsid w:val="0756410F"/>
    <w:rsid w:val="07580C58"/>
    <w:rsid w:val="0760247A"/>
    <w:rsid w:val="07760D3C"/>
    <w:rsid w:val="07773982"/>
    <w:rsid w:val="077C5FDB"/>
    <w:rsid w:val="07832BA1"/>
    <w:rsid w:val="078557E2"/>
    <w:rsid w:val="078E6684"/>
    <w:rsid w:val="079749AF"/>
    <w:rsid w:val="07975040"/>
    <w:rsid w:val="07996BA0"/>
    <w:rsid w:val="079D43A1"/>
    <w:rsid w:val="07A162E8"/>
    <w:rsid w:val="07A44737"/>
    <w:rsid w:val="07A82607"/>
    <w:rsid w:val="07B823AC"/>
    <w:rsid w:val="07B8266D"/>
    <w:rsid w:val="07BF29CF"/>
    <w:rsid w:val="07CC281A"/>
    <w:rsid w:val="07CD02C0"/>
    <w:rsid w:val="07D16002"/>
    <w:rsid w:val="07D3119E"/>
    <w:rsid w:val="07D82C75"/>
    <w:rsid w:val="07DB6AB3"/>
    <w:rsid w:val="07DC1487"/>
    <w:rsid w:val="07E0384B"/>
    <w:rsid w:val="07E5774E"/>
    <w:rsid w:val="07E605FF"/>
    <w:rsid w:val="07EC2E9C"/>
    <w:rsid w:val="07F57A87"/>
    <w:rsid w:val="080B044A"/>
    <w:rsid w:val="08165809"/>
    <w:rsid w:val="081E6640"/>
    <w:rsid w:val="081F14A9"/>
    <w:rsid w:val="08203131"/>
    <w:rsid w:val="08220B51"/>
    <w:rsid w:val="082854AD"/>
    <w:rsid w:val="0831754C"/>
    <w:rsid w:val="083337B5"/>
    <w:rsid w:val="08357123"/>
    <w:rsid w:val="08367AF2"/>
    <w:rsid w:val="084056C7"/>
    <w:rsid w:val="08406447"/>
    <w:rsid w:val="0842022E"/>
    <w:rsid w:val="08422114"/>
    <w:rsid w:val="08451026"/>
    <w:rsid w:val="08455EE2"/>
    <w:rsid w:val="084863FD"/>
    <w:rsid w:val="084A623E"/>
    <w:rsid w:val="08597419"/>
    <w:rsid w:val="086205EE"/>
    <w:rsid w:val="08621BD2"/>
    <w:rsid w:val="086654EB"/>
    <w:rsid w:val="086914F5"/>
    <w:rsid w:val="086C12DB"/>
    <w:rsid w:val="086C6266"/>
    <w:rsid w:val="08713CE0"/>
    <w:rsid w:val="08715071"/>
    <w:rsid w:val="08742995"/>
    <w:rsid w:val="08781BA5"/>
    <w:rsid w:val="087A48E9"/>
    <w:rsid w:val="087B49EC"/>
    <w:rsid w:val="087B767D"/>
    <w:rsid w:val="087E35E9"/>
    <w:rsid w:val="0880397C"/>
    <w:rsid w:val="088D3C6A"/>
    <w:rsid w:val="08900588"/>
    <w:rsid w:val="08902A4B"/>
    <w:rsid w:val="08990DEE"/>
    <w:rsid w:val="08996043"/>
    <w:rsid w:val="089B1FCC"/>
    <w:rsid w:val="089F7D41"/>
    <w:rsid w:val="08A17ECE"/>
    <w:rsid w:val="08A32E04"/>
    <w:rsid w:val="08A57C84"/>
    <w:rsid w:val="08A6335D"/>
    <w:rsid w:val="08A96632"/>
    <w:rsid w:val="08AC4914"/>
    <w:rsid w:val="08B472C1"/>
    <w:rsid w:val="08B756C6"/>
    <w:rsid w:val="08B855EB"/>
    <w:rsid w:val="08BC7175"/>
    <w:rsid w:val="08C40FA0"/>
    <w:rsid w:val="08D06F3D"/>
    <w:rsid w:val="08D146A1"/>
    <w:rsid w:val="08D629C4"/>
    <w:rsid w:val="08DB2FDF"/>
    <w:rsid w:val="08DD28E1"/>
    <w:rsid w:val="08DD3B35"/>
    <w:rsid w:val="08DE667E"/>
    <w:rsid w:val="08E04023"/>
    <w:rsid w:val="08E47795"/>
    <w:rsid w:val="08F11570"/>
    <w:rsid w:val="08F246CE"/>
    <w:rsid w:val="08F4115B"/>
    <w:rsid w:val="08F67D32"/>
    <w:rsid w:val="08F7607E"/>
    <w:rsid w:val="08F763EF"/>
    <w:rsid w:val="08F81E3E"/>
    <w:rsid w:val="08F83492"/>
    <w:rsid w:val="08FA00DC"/>
    <w:rsid w:val="08FD2AF3"/>
    <w:rsid w:val="08FF3AD2"/>
    <w:rsid w:val="0905374B"/>
    <w:rsid w:val="09083956"/>
    <w:rsid w:val="090913B1"/>
    <w:rsid w:val="090F782C"/>
    <w:rsid w:val="09102549"/>
    <w:rsid w:val="092107CB"/>
    <w:rsid w:val="092455F1"/>
    <w:rsid w:val="092959CA"/>
    <w:rsid w:val="092E6520"/>
    <w:rsid w:val="093502CB"/>
    <w:rsid w:val="09353BD7"/>
    <w:rsid w:val="09390C9C"/>
    <w:rsid w:val="093C0939"/>
    <w:rsid w:val="094270CC"/>
    <w:rsid w:val="094464A5"/>
    <w:rsid w:val="095013AE"/>
    <w:rsid w:val="09507D8E"/>
    <w:rsid w:val="09510DF7"/>
    <w:rsid w:val="095219B0"/>
    <w:rsid w:val="095827AC"/>
    <w:rsid w:val="095D3557"/>
    <w:rsid w:val="09693537"/>
    <w:rsid w:val="096F76F3"/>
    <w:rsid w:val="0973448F"/>
    <w:rsid w:val="09794B6C"/>
    <w:rsid w:val="097956DC"/>
    <w:rsid w:val="097B3384"/>
    <w:rsid w:val="097C501D"/>
    <w:rsid w:val="097E4E3D"/>
    <w:rsid w:val="097E64EE"/>
    <w:rsid w:val="09850AEA"/>
    <w:rsid w:val="0986094F"/>
    <w:rsid w:val="098B6EC1"/>
    <w:rsid w:val="098B7A80"/>
    <w:rsid w:val="098D2094"/>
    <w:rsid w:val="098F4687"/>
    <w:rsid w:val="09940B04"/>
    <w:rsid w:val="09967183"/>
    <w:rsid w:val="099E69D3"/>
    <w:rsid w:val="09A35FF4"/>
    <w:rsid w:val="09A61D59"/>
    <w:rsid w:val="09AD0322"/>
    <w:rsid w:val="09AE05ED"/>
    <w:rsid w:val="09AF4289"/>
    <w:rsid w:val="09B1268B"/>
    <w:rsid w:val="09B37C68"/>
    <w:rsid w:val="09B416AE"/>
    <w:rsid w:val="09BB2EFB"/>
    <w:rsid w:val="09C301A3"/>
    <w:rsid w:val="09C3093A"/>
    <w:rsid w:val="09CA3354"/>
    <w:rsid w:val="09CB728A"/>
    <w:rsid w:val="09D32AB4"/>
    <w:rsid w:val="09D36F79"/>
    <w:rsid w:val="09DA08D7"/>
    <w:rsid w:val="09DA1E98"/>
    <w:rsid w:val="09DB0976"/>
    <w:rsid w:val="09E14468"/>
    <w:rsid w:val="09E524AA"/>
    <w:rsid w:val="09EE3807"/>
    <w:rsid w:val="09F118D9"/>
    <w:rsid w:val="09F85CFF"/>
    <w:rsid w:val="09F87EE5"/>
    <w:rsid w:val="09F97765"/>
    <w:rsid w:val="09FD6832"/>
    <w:rsid w:val="0A093707"/>
    <w:rsid w:val="0A0C0773"/>
    <w:rsid w:val="0A116422"/>
    <w:rsid w:val="0A140428"/>
    <w:rsid w:val="0A1469C8"/>
    <w:rsid w:val="0A1E5D31"/>
    <w:rsid w:val="0A200E44"/>
    <w:rsid w:val="0A206DCD"/>
    <w:rsid w:val="0A2166A1"/>
    <w:rsid w:val="0A25793B"/>
    <w:rsid w:val="0A26057A"/>
    <w:rsid w:val="0A264832"/>
    <w:rsid w:val="0A297E8A"/>
    <w:rsid w:val="0A2A69D1"/>
    <w:rsid w:val="0A310113"/>
    <w:rsid w:val="0A345CBC"/>
    <w:rsid w:val="0A40121D"/>
    <w:rsid w:val="0A433057"/>
    <w:rsid w:val="0A4665A3"/>
    <w:rsid w:val="0A4707FD"/>
    <w:rsid w:val="0A486A5B"/>
    <w:rsid w:val="0A4C3D65"/>
    <w:rsid w:val="0A4C5832"/>
    <w:rsid w:val="0A4E257F"/>
    <w:rsid w:val="0A4F76B2"/>
    <w:rsid w:val="0A511897"/>
    <w:rsid w:val="0A570E0F"/>
    <w:rsid w:val="0A584175"/>
    <w:rsid w:val="0A5C592B"/>
    <w:rsid w:val="0A5D7462"/>
    <w:rsid w:val="0A5E2B32"/>
    <w:rsid w:val="0A656AFC"/>
    <w:rsid w:val="0A661201"/>
    <w:rsid w:val="0A677C7A"/>
    <w:rsid w:val="0A6A2F3A"/>
    <w:rsid w:val="0A75758E"/>
    <w:rsid w:val="0A767B34"/>
    <w:rsid w:val="0A770F97"/>
    <w:rsid w:val="0A771F2A"/>
    <w:rsid w:val="0A7811D0"/>
    <w:rsid w:val="0A786C09"/>
    <w:rsid w:val="0A794909"/>
    <w:rsid w:val="0A805ABD"/>
    <w:rsid w:val="0A807C14"/>
    <w:rsid w:val="0A81778A"/>
    <w:rsid w:val="0A832657"/>
    <w:rsid w:val="0A8455AD"/>
    <w:rsid w:val="0A86539A"/>
    <w:rsid w:val="0A883EBF"/>
    <w:rsid w:val="0A8B7FBA"/>
    <w:rsid w:val="0A90026B"/>
    <w:rsid w:val="0A923B5C"/>
    <w:rsid w:val="0A933C39"/>
    <w:rsid w:val="0A933E7B"/>
    <w:rsid w:val="0A943317"/>
    <w:rsid w:val="0A950D29"/>
    <w:rsid w:val="0A9B1C9C"/>
    <w:rsid w:val="0A9E5743"/>
    <w:rsid w:val="0AA240CB"/>
    <w:rsid w:val="0AA55524"/>
    <w:rsid w:val="0AB139F0"/>
    <w:rsid w:val="0ABF22DC"/>
    <w:rsid w:val="0AC875EA"/>
    <w:rsid w:val="0AC97121"/>
    <w:rsid w:val="0AD16319"/>
    <w:rsid w:val="0AD656DD"/>
    <w:rsid w:val="0ADC3661"/>
    <w:rsid w:val="0ADC656A"/>
    <w:rsid w:val="0ADD5B28"/>
    <w:rsid w:val="0AE133EA"/>
    <w:rsid w:val="0AE26690"/>
    <w:rsid w:val="0AE34A90"/>
    <w:rsid w:val="0AE66FEE"/>
    <w:rsid w:val="0AE71698"/>
    <w:rsid w:val="0AEF6494"/>
    <w:rsid w:val="0AF142C5"/>
    <w:rsid w:val="0AF35439"/>
    <w:rsid w:val="0AF4321A"/>
    <w:rsid w:val="0AF6799E"/>
    <w:rsid w:val="0AF94BC2"/>
    <w:rsid w:val="0AFC0FFE"/>
    <w:rsid w:val="0B025FAC"/>
    <w:rsid w:val="0B174E9F"/>
    <w:rsid w:val="0B1F5ADB"/>
    <w:rsid w:val="0B223B79"/>
    <w:rsid w:val="0B2428ED"/>
    <w:rsid w:val="0B277E94"/>
    <w:rsid w:val="0B293A5F"/>
    <w:rsid w:val="0B2D3EC1"/>
    <w:rsid w:val="0B311F5A"/>
    <w:rsid w:val="0B33788A"/>
    <w:rsid w:val="0B362ECD"/>
    <w:rsid w:val="0B394B6E"/>
    <w:rsid w:val="0B3D575C"/>
    <w:rsid w:val="0B3E553F"/>
    <w:rsid w:val="0B467C7A"/>
    <w:rsid w:val="0B487C9A"/>
    <w:rsid w:val="0B4B10F3"/>
    <w:rsid w:val="0B4E34C6"/>
    <w:rsid w:val="0B4F7908"/>
    <w:rsid w:val="0B5E26D9"/>
    <w:rsid w:val="0B61026B"/>
    <w:rsid w:val="0B6500A6"/>
    <w:rsid w:val="0B664CB3"/>
    <w:rsid w:val="0B7122F3"/>
    <w:rsid w:val="0B734694"/>
    <w:rsid w:val="0B75258D"/>
    <w:rsid w:val="0B787649"/>
    <w:rsid w:val="0B7B6284"/>
    <w:rsid w:val="0B7C24D6"/>
    <w:rsid w:val="0B7E7D70"/>
    <w:rsid w:val="0B7F7A66"/>
    <w:rsid w:val="0B836F96"/>
    <w:rsid w:val="0B8A12B3"/>
    <w:rsid w:val="0B8B296C"/>
    <w:rsid w:val="0B98591E"/>
    <w:rsid w:val="0B9A1CF4"/>
    <w:rsid w:val="0B9C1DF7"/>
    <w:rsid w:val="0B9C280B"/>
    <w:rsid w:val="0BA073F9"/>
    <w:rsid w:val="0BA90604"/>
    <w:rsid w:val="0BAA54B6"/>
    <w:rsid w:val="0BAC325E"/>
    <w:rsid w:val="0BAF6CE0"/>
    <w:rsid w:val="0BB03B2A"/>
    <w:rsid w:val="0BB27EF8"/>
    <w:rsid w:val="0BBA041F"/>
    <w:rsid w:val="0BC15715"/>
    <w:rsid w:val="0BC5439E"/>
    <w:rsid w:val="0BC70162"/>
    <w:rsid w:val="0BC93096"/>
    <w:rsid w:val="0BD425F6"/>
    <w:rsid w:val="0BD90BBF"/>
    <w:rsid w:val="0BE82DEB"/>
    <w:rsid w:val="0BF05F4E"/>
    <w:rsid w:val="0BF31930"/>
    <w:rsid w:val="0BF456FB"/>
    <w:rsid w:val="0BF73C5B"/>
    <w:rsid w:val="0BFB1804"/>
    <w:rsid w:val="0BFD5F80"/>
    <w:rsid w:val="0C07628F"/>
    <w:rsid w:val="0C0F4630"/>
    <w:rsid w:val="0C135B54"/>
    <w:rsid w:val="0C174CA8"/>
    <w:rsid w:val="0C1C77CC"/>
    <w:rsid w:val="0C1E3EAC"/>
    <w:rsid w:val="0C216E2C"/>
    <w:rsid w:val="0C217BD4"/>
    <w:rsid w:val="0C2354FD"/>
    <w:rsid w:val="0C26712C"/>
    <w:rsid w:val="0C271038"/>
    <w:rsid w:val="0C2953A1"/>
    <w:rsid w:val="0C2C1F67"/>
    <w:rsid w:val="0C2E10C8"/>
    <w:rsid w:val="0C2F1549"/>
    <w:rsid w:val="0C3209DC"/>
    <w:rsid w:val="0C384B44"/>
    <w:rsid w:val="0C4072B2"/>
    <w:rsid w:val="0C455154"/>
    <w:rsid w:val="0C4C5E17"/>
    <w:rsid w:val="0C515EEC"/>
    <w:rsid w:val="0C567849"/>
    <w:rsid w:val="0C5C763F"/>
    <w:rsid w:val="0C6A7427"/>
    <w:rsid w:val="0C6D636C"/>
    <w:rsid w:val="0C6E0F97"/>
    <w:rsid w:val="0C6E13EF"/>
    <w:rsid w:val="0C6F1C0A"/>
    <w:rsid w:val="0C7C6193"/>
    <w:rsid w:val="0C7D7199"/>
    <w:rsid w:val="0C7E1E06"/>
    <w:rsid w:val="0C7F2466"/>
    <w:rsid w:val="0C7F7DF9"/>
    <w:rsid w:val="0C840616"/>
    <w:rsid w:val="0C850E1C"/>
    <w:rsid w:val="0C872DA1"/>
    <w:rsid w:val="0C892C6F"/>
    <w:rsid w:val="0C8F7C31"/>
    <w:rsid w:val="0CA24551"/>
    <w:rsid w:val="0CA2664D"/>
    <w:rsid w:val="0CA56ACA"/>
    <w:rsid w:val="0CA87120"/>
    <w:rsid w:val="0CB31ADF"/>
    <w:rsid w:val="0CB35D02"/>
    <w:rsid w:val="0CB4794E"/>
    <w:rsid w:val="0CB61643"/>
    <w:rsid w:val="0CC029B5"/>
    <w:rsid w:val="0CC17C52"/>
    <w:rsid w:val="0CC354DC"/>
    <w:rsid w:val="0CC95F82"/>
    <w:rsid w:val="0CCA0D3C"/>
    <w:rsid w:val="0CCB5572"/>
    <w:rsid w:val="0CCE25AF"/>
    <w:rsid w:val="0CCF64BA"/>
    <w:rsid w:val="0CD02BA2"/>
    <w:rsid w:val="0CDA49A7"/>
    <w:rsid w:val="0CDD08A4"/>
    <w:rsid w:val="0CDD2FF3"/>
    <w:rsid w:val="0CF0217F"/>
    <w:rsid w:val="0CF032B6"/>
    <w:rsid w:val="0CF07BEA"/>
    <w:rsid w:val="0D031860"/>
    <w:rsid w:val="0D0365F0"/>
    <w:rsid w:val="0D052911"/>
    <w:rsid w:val="0D05452F"/>
    <w:rsid w:val="0D057E79"/>
    <w:rsid w:val="0D0667CA"/>
    <w:rsid w:val="0D083998"/>
    <w:rsid w:val="0D09692C"/>
    <w:rsid w:val="0D0A1A9E"/>
    <w:rsid w:val="0D0C1388"/>
    <w:rsid w:val="0D166CFD"/>
    <w:rsid w:val="0D173A70"/>
    <w:rsid w:val="0D217D80"/>
    <w:rsid w:val="0D224350"/>
    <w:rsid w:val="0D2629E8"/>
    <w:rsid w:val="0D2B45D8"/>
    <w:rsid w:val="0D2B6B25"/>
    <w:rsid w:val="0D337B19"/>
    <w:rsid w:val="0D355CAC"/>
    <w:rsid w:val="0D40647F"/>
    <w:rsid w:val="0D4728C2"/>
    <w:rsid w:val="0D4E211C"/>
    <w:rsid w:val="0D4E48F8"/>
    <w:rsid w:val="0D5566B9"/>
    <w:rsid w:val="0D577667"/>
    <w:rsid w:val="0D5D5C42"/>
    <w:rsid w:val="0D6118D5"/>
    <w:rsid w:val="0D613CD9"/>
    <w:rsid w:val="0D643C3A"/>
    <w:rsid w:val="0D652B33"/>
    <w:rsid w:val="0D677707"/>
    <w:rsid w:val="0D6C750B"/>
    <w:rsid w:val="0D6D7FE9"/>
    <w:rsid w:val="0D7711CC"/>
    <w:rsid w:val="0D7A794A"/>
    <w:rsid w:val="0D8036DB"/>
    <w:rsid w:val="0D815D13"/>
    <w:rsid w:val="0D8403BC"/>
    <w:rsid w:val="0D8762AE"/>
    <w:rsid w:val="0D885D52"/>
    <w:rsid w:val="0D8C69BE"/>
    <w:rsid w:val="0D9B0C2F"/>
    <w:rsid w:val="0D9E4772"/>
    <w:rsid w:val="0D9F606D"/>
    <w:rsid w:val="0DA24EE0"/>
    <w:rsid w:val="0DB6188F"/>
    <w:rsid w:val="0DBC2CEA"/>
    <w:rsid w:val="0DBE3B43"/>
    <w:rsid w:val="0DBF3F5F"/>
    <w:rsid w:val="0DC363ED"/>
    <w:rsid w:val="0DC458FB"/>
    <w:rsid w:val="0DCA2888"/>
    <w:rsid w:val="0DCB4330"/>
    <w:rsid w:val="0DCB715E"/>
    <w:rsid w:val="0DCF1845"/>
    <w:rsid w:val="0DD36792"/>
    <w:rsid w:val="0DD50D80"/>
    <w:rsid w:val="0DD9452D"/>
    <w:rsid w:val="0DDB5C40"/>
    <w:rsid w:val="0DDC60F6"/>
    <w:rsid w:val="0DDF3AD2"/>
    <w:rsid w:val="0DE0686E"/>
    <w:rsid w:val="0DE41DDD"/>
    <w:rsid w:val="0DE41F9E"/>
    <w:rsid w:val="0DE57F0A"/>
    <w:rsid w:val="0DEE363E"/>
    <w:rsid w:val="0DF45B5A"/>
    <w:rsid w:val="0E05357E"/>
    <w:rsid w:val="0E072884"/>
    <w:rsid w:val="0E073F44"/>
    <w:rsid w:val="0E0F1632"/>
    <w:rsid w:val="0E0F6714"/>
    <w:rsid w:val="0E0F7083"/>
    <w:rsid w:val="0E1100CF"/>
    <w:rsid w:val="0E162DCB"/>
    <w:rsid w:val="0E167CF4"/>
    <w:rsid w:val="0E175C2D"/>
    <w:rsid w:val="0E1E6CAC"/>
    <w:rsid w:val="0E2A6DC6"/>
    <w:rsid w:val="0E2B3F92"/>
    <w:rsid w:val="0E324BD5"/>
    <w:rsid w:val="0E385189"/>
    <w:rsid w:val="0E3D0BC6"/>
    <w:rsid w:val="0E4A4584"/>
    <w:rsid w:val="0E4B1F1E"/>
    <w:rsid w:val="0E4D6D5D"/>
    <w:rsid w:val="0E52151F"/>
    <w:rsid w:val="0E543DF2"/>
    <w:rsid w:val="0E58102B"/>
    <w:rsid w:val="0E59465B"/>
    <w:rsid w:val="0E610AB4"/>
    <w:rsid w:val="0E640160"/>
    <w:rsid w:val="0E6D2C45"/>
    <w:rsid w:val="0E6D3B7B"/>
    <w:rsid w:val="0E79224D"/>
    <w:rsid w:val="0E7B52DF"/>
    <w:rsid w:val="0E9053BA"/>
    <w:rsid w:val="0E9438E5"/>
    <w:rsid w:val="0E9559BD"/>
    <w:rsid w:val="0E955F35"/>
    <w:rsid w:val="0E962236"/>
    <w:rsid w:val="0E9F5108"/>
    <w:rsid w:val="0EA00A53"/>
    <w:rsid w:val="0EA54E93"/>
    <w:rsid w:val="0EA87391"/>
    <w:rsid w:val="0EAF0D19"/>
    <w:rsid w:val="0EB71749"/>
    <w:rsid w:val="0EB71B96"/>
    <w:rsid w:val="0EB96678"/>
    <w:rsid w:val="0EBD5408"/>
    <w:rsid w:val="0EC42EFD"/>
    <w:rsid w:val="0EC8221A"/>
    <w:rsid w:val="0EC93E5E"/>
    <w:rsid w:val="0ECA75DC"/>
    <w:rsid w:val="0ECB756D"/>
    <w:rsid w:val="0ECD4A68"/>
    <w:rsid w:val="0ECE774B"/>
    <w:rsid w:val="0ED72328"/>
    <w:rsid w:val="0ED75299"/>
    <w:rsid w:val="0EE02BF7"/>
    <w:rsid w:val="0EE87132"/>
    <w:rsid w:val="0EE95F57"/>
    <w:rsid w:val="0EEB6793"/>
    <w:rsid w:val="0EF36C47"/>
    <w:rsid w:val="0EF85623"/>
    <w:rsid w:val="0EFA5B12"/>
    <w:rsid w:val="0EFA6E27"/>
    <w:rsid w:val="0EFB28B8"/>
    <w:rsid w:val="0EFF488E"/>
    <w:rsid w:val="0F013A88"/>
    <w:rsid w:val="0F034D21"/>
    <w:rsid w:val="0F0C08FD"/>
    <w:rsid w:val="0F0E18B1"/>
    <w:rsid w:val="0F0E3EF3"/>
    <w:rsid w:val="0F152541"/>
    <w:rsid w:val="0F220AA2"/>
    <w:rsid w:val="0F2729AB"/>
    <w:rsid w:val="0F2942D5"/>
    <w:rsid w:val="0F2A7368"/>
    <w:rsid w:val="0F2E5775"/>
    <w:rsid w:val="0F3C322F"/>
    <w:rsid w:val="0F450E73"/>
    <w:rsid w:val="0F495F54"/>
    <w:rsid w:val="0F542BDA"/>
    <w:rsid w:val="0F5D017B"/>
    <w:rsid w:val="0F60673F"/>
    <w:rsid w:val="0F6153EA"/>
    <w:rsid w:val="0F6272BE"/>
    <w:rsid w:val="0F6634D4"/>
    <w:rsid w:val="0F6675BC"/>
    <w:rsid w:val="0F684A44"/>
    <w:rsid w:val="0F6E3B08"/>
    <w:rsid w:val="0F711B10"/>
    <w:rsid w:val="0F7D6A6F"/>
    <w:rsid w:val="0F847CEE"/>
    <w:rsid w:val="0F866DCE"/>
    <w:rsid w:val="0F901495"/>
    <w:rsid w:val="0F916077"/>
    <w:rsid w:val="0F922B37"/>
    <w:rsid w:val="0F962F94"/>
    <w:rsid w:val="0F9976B9"/>
    <w:rsid w:val="0FA40397"/>
    <w:rsid w:val="0FA933C0"/>
    <w:rsid w:val="0FB82D7D"/>
    <w:rsid w:val="0FBC1751"/>
    <w:rsid w:val="0FBF3256"/>
    <w:rsid w:val="0FCD034A"/>
    <w:rsid w:val="0FCD3EF5"/>
    <w:rsid w:val="0FD0094D"/>
    <w:rsid w:val="0FD257AD"/>
    <w:rsid w:val="0FD25B19"/>
    <w:rsid w:val="0FD37087"/>
    <w:rsid w:val="0FD52C96"/>
    <w:rsid w:val="0FD85A54"/>
    <w:rsid w:val="0FE11537"/>
    <w:rsid w:val="0FEF6906"/>
    <w:rsid w:val="0FF12296"/>
    <w:rsid w:val="0FF16F53"/>
    <w:rsid w:val="0FF24D67"/>
    <w:rsid w:val="0FF7237E"/>
    <w:rsid w:val="0FF9037B"/>
    <w:rsid w:val="0FF95AAA"/>
    <w:rsid w:val="10064931"/>
    <w:rsid w:val="100A0D23"/>
    <w:rsid w:val="100F27E6"/>
    <w:rsid w:val="10142B9C"/>
    <w:rsid w:val="10164685"/>
    <w:rsid w:val="101D71CC"/>
    <w:rsid w:val="101D756C"/>
    <w:rsid w:val="1020523C"/>
    <w:rsid w:val="102D05E8"/>
    <w:rsid w:val="102D0EE4"/>
    <w:rsid w:val="10377F8B"/>
    <w:rsid w:val="103B568A"/>
    <w:rsid w:val="103C6374"/>
    <w:rsid w:val="1041358D"/>
    <w:rsid w:val="104268EC"/>
    <w:rsid w:val="10433815"/>
    <w:rsid w:val="104674F7"/>
    <w:rsid w:val="104C2755"/>
    <w:rsid w:val="104E558C"/>
    <w:rsid w:val="105E1C51"/>
    <w:rsid w:val="106043C7"/>
    <w:rsid w:val="106C1055"/>
    <w:rsid w:val="107067F6"/>
    <w:rsid w:val="10744BE1"/>
    <w:rsid w:val="10763AAB"/>
    <w:rsid w:val="107E1431"/>
    <w:rsid w:val="10852D59"/>
    <w:rsid w:val="108F25B6"/>
    <w:rsid w:val="109033C8"/>
    <w:rsid w:val="1098093D"/>
    <w:rsid w:val="1098615F"/>
    <w:rsid w:val="10A30E58"/>
    <w:rsid w:val="10A342E8"/>
    <w:rsid w:val="10A96766"/>
    <w:rsid w:val="10AC48D3"/>
    <w:rsid w:val="10AE6474"/>
    <w:rsid w:val="10BB6751"/>
    <w:rsid w:val="10C2122B"/>
    <w:rsid w:val="10C5381D"/>
    <w:rsid w:val="10CA2B84"/>
    <w:rsid w:val="10CC0B03"/>
    <w:rsid w:val="10CE2C13"/>
    <w:rsid w:val="10D07863"/>
    <w:rsid w:val="10D17CB5"/>
    <w:rsid w:val="10D25423"/>
    <w:rsid w:val="10D26801"/>
    <w:rsid w:val="10D46BEA"/>
    <w:rsid w:val="10D833DA"/>
    <w:rsid w:val="10D95F27"/>
    <w:rsid w:val="10DB1368"/>
    <w:rsid w:val="10DF421A"/>
    <w:rsid w:val="10E26C4C"/>
    <w:rsid w:val="10E27C40"/>
    <w:rsid w:val="10E3378C"/>
    <w:rsid w:val="10E34827"/>
    <w:rsid w:val="10E93063"/>
    <w:rsid w:val="10E95887"/>
    <w:rsid w:val="10EA1578"/>
    <w:rsid w:val="10EA219E"/>
    <w:rsid w:val="10F36FE9"/>
    <w:rsid w:val="10F46153"/>
    <w:rsid w:val="11004861"/>
    <w:rsid w:val="11012F8E"/>
    <w:rsid w:val="110A41C1"/>
    <w:rsid w:val="110F627C"/>
    <w:rsid w:val="110F67DD"/>
    <w:rsid w:val="11116F4B"/>
    <w:rsid w:val="111355E0"/>
    <w:rsid w:val="111758C9"/>
    <w:rsid w:val="1117764C"/>
    <w:rsid w:val="11233957"/>
    <w:rsid w:val="11247BEF"/>
    <w:rsid w:val="11263C35"/>
    <w:rsid w:val="11280DCB"/>
    <w:rsid w:val="112A24D2"/>
    <w:rsid w:val="112A4E1A"/>
    <w:rsid w:val="112F3EB6"/>
    <w:rsid w:val="11325979"/>
    <w:rsid w:val="11330EB1"/>
    <w:rsid w:val="11367837"/>
    <w:rsid w:val="113B1102"/>
    <w:rsid w:val="113B65AE"/>
    <w:rsid w:val="113F4550"/>
    <w:rsid w:val="113F505B"/>
    <w:rsid w:val="11406347"/>
    <w:rsid w:val="1142305A"/>
    <w:rsid w:val="11433F2B"/>
    <w:rsid w:val="11454DDD"/>
    <w:rsid w:val="1147484D"/>
    <w:rsid w:val="114D017F"/>
    <w:rsid w:val="11525137"/>
    <w:rsid w:val="115831FC"/>
    <w:rsid w:val="11592BC4"/>
    <w:rsid w:val="115D1509"/>
    <w:rsid w:val="11615573"/>
    <w:rsid w:val="11693469"/>
    <w:rsid w:val="116D2776"/>
    <w:rsid w:val="116F54A5"/>
    <w:rsid w:val="11731ED8"/>
    <w:rsid w:val="11767F6F"/>
    <w:rsid w:val="11781924"/>
    <w:rsid w:val="117D2818"/>
    <w:rsid w:val="117D6F9C"/>
    <w:rsid w:val="118256A9"/>
    <w:rsid w:val="118659DE"/>
    <w:rsid w:val="11894DE6"/>
    <w:rsid w:val="118A439D"/>
    <w:rsid w:val="118C324F"/>
    <w:rsid w:val="118F0CEA"/>
    <w:rsid w:val="118F181C"/>
    <w:rsid w:val="119211F0"/>
    <w:rsid w:val="119344BF"/>
    <w:rsid w:val="11935BA5"/>
    <w:rsid w:val="119A63F2"/>
    <w:rsid w:val="119B4F8B"/>
    <w:rsid w:val="119E44CF"/>
    <w:rsid w:val="11B12B01"/>
    <w:rsid w:val="11B36778"/>
    <w:rsid w:val="11B53982"/>
    <w:rsid w:val="11B83662"/>
    <w:rsid w:val="11BD61D7"/>
    <w:rsid w:val="11BF4CD6"/>
    <w:rsid w:val="11C47D41"/>
    <w:rsid w:val="11CC0FE1"/>
    <w:rsid w:val="11CC1A20"/>
    <w:rsid w:val="11D01071"/>
    <w:rsid w:val="11D82BB3"/>
    <w:rsid w:val="11DC5157"/>
    <w:rsid w:val="11DF0892"/>
    <w:rsid w:val="11DF664A"/>
    <w:rsid w:val="11E00E31"/>
    <w:rsid w:val="11E25ADC"/>
    <w:rsid w:val="11E35736"/>
    <w:rsid w:val="11E73DF1"/>
    <w:rsid w:val="11E77953"/>
    <w:rsid w:val="11EA6044"/>
    <w:rsid w:val="11EE0A8F"/>
    <w:rsid w:val="11F052D6"/>
    <w:rsid w:val="11FC6C7D"/>
    <w:rsid w:val="11FC7B2B"/>
    <w:rsid w:val="11FD7B09"/>
    <w:rsid w:val="12080D90"/>
    <w:rsid w:val="12092FBA"/>
    <w:rsid w:val="120F4DD1"/>
    <w:rsid w:val="12161243"/>
    <w:rsid w:val="121954F1"/>
    <w:rsid w:val="121E6CB8"/>
    <w:rsid w:val="12231890"/>
    <w:rsid w:val="12267C49"/>
    <w:rsid w:val="122C3566"/>
    <w:rsid w:val="12486EBB"/>
    <w:rsid w:val="12505D75"/>
    <w:rsid w:val="12545069"/>
    <w:rsid w:val="125D5DCB"/>
    <w:rsid w:val="12601E72"/>
    <w:rsid w:val="12613D43"/>
    <w:rsid w:val="126950D0"/>
    <w:rsid w:val="126B5C62"/>
    <w:rsid w:val="127714E5"/>
    <w:rsid w:val="127A374A"/>
    <w:rsid w:val="127D1ED1"/>
    <w:rsid w:val="127F405F"/>
    <w:rsid w:val="128123D2"/>
    <w:rsid w:val="12816876"/>
    <w:rsid w:val="12826B72"/>
    <w:rsid w:val="128676F7"/>
    <w:rsid w:val="129309CC"/>
    <w:rsid w:val="129E3690"/>
    <w:rsid w:val="12A26D52"/>
    <w:rsid w:val="12A87B55"/>
    <w:rsid w:val="12AA7B7B"/>
    <w:rsid w:val="12B02CB8"/>
    <w:rsid w:val="12B72FC8"/>
    <w:rsid w:val="12BE5EE7"/>
    <w:rsid w:val="12C41B9C"/>
    <w:rsid w:val="12C5737A"/>
    <w:rsid w:val="12CA0B6A"/>
    <w:rsid w:val="12D36EA7"/>
    <w:rsid w:val="12D93037"/>
    <w:rsid w:val="12DF6E63"/>
    <w:rsid w:val="12E354B8"/>
    <w:rsid w:val="12EC610C"/>
    <w:rsid w:val="12ED4C0F"/>
    <w:rsid w:val="12F75645"/>
    <w:rsid w:val="12F81CAF"/>
    <w:rsid w:val="12FA7900"/>
    <w:rsid w:val="12FD65FB"/>
    <w:rsid w:val="13001261"/>
    <w:rsid w:val="13051A49"/>
    <w:rsid w:val="13063C05"/>
    <w:rsid w:val="1309679C"/>
    <w:rsid w:val="130E4B33"/>
    <w:rsid w:val="130E4D01"/>
    <w:rsid w:val="130E6692"/>
    <w:rsid w:val="13120E87"/>
    <w:rsid w:val="13122AA9"/>
    <w:rsid w:val="1318795A"/>
    <w:rsid w:val="131A3CC3"/>
    <w:rsid w:val="131C4CCA"/>
    <w:rsid w:val="13207E3D"/>
    <w:rsid w:val="1326458A"/>
    <w:rsid w:val="132A732B"/>
    <w:rsid w:val="1334525D"/>
    <w:rsid w:val="133C4906"/>
    <w:rsid w:val="134A00FE"/>
    <w:rsid w:val="134D11D6"/>
    <w:rsid w:val="134F5F55"/>
    <w:rsid w:val="135E7A3E"/>
    <w:rsid w:val="136063CD"/>
    <w:rsid w:val="13617D5A"/>
    <w:rsid w:val="13637E6B"/>
    <w:rsid w:val="13645F46"/>
    <w:rsid w:val="13681244"/>
    <w:rsid w:val="137240C5"/>
    <w:rsid w:val="1375002C"/>
    <w:rsid w:val="137950E7"/>
    <w:rsid w:val="137B5984"/>
    <w:rsid w:val="137D5BAE"/>
    <w:rsid w:val="138317E3"/>
    <w:rsid w:val="13877644"/>
    <w:rsid w:val="139B3D93"/>
    <w:rsid w:val="139E0753"/>
    <w:rsid w:val="139F5F32"/>
    <w:rsid w:val="13A27849"/>
    <w:rsid w:val="13A528D6"/>
    <w:rsid w:val="13A70D9F"/>
    <w:rsid w:val="13AD1B71"/>
    <w:rsid w:val="13B20653"/>
    <w:rsid w:val="13B21878"/>
    <w:rsid w:val="13B62550"/>
    <w:rsid w:val="13BF7656"/>
    <w:rsid w:val="13C13925"/>
    <w:rsid w:val="13C276A4"/>
    <w:rsid w:val="13C42A8D"/>
    <w:rsid w:val="13C67217"/>
    <w:rsid w:val="13C95518"/>
    <w:rsid w:val="13CC6D46"/>
    <w:rsid w:val="13CE6CD0"/>
    <w:rsid w:val="13D711AF"/>
    <w:rsid w:val="13DA5A71"/>
    <w:rsid w:val="13DB3487"/>
    <w:rsid w:val="13F50CFD"/>
    <w:rsid w:val="13F512E9"/>
    <w:rsid w:val="13F90EA2"/>
    <w:rsid w:val="13FD4718"/>
    <w:rsid w:val="140267DC"/>
    <w:rsid w:val="140A0D24"/>
    <w:rsid w:val="141229FD"/>
    <w:rsid w:val="14151167"/>
    <w:rsid w:val="141860EE"/>
    <w:rsid w:val="141D769C"/>
    <w:rsid w:val="141E785F"/>
    <w:rsid w:val="14236F8F"/>
    <w:rsid w:val="14293001"/>
    <w:rsid w:val="1429370A"/>
    <w:rsid w:val="14310506"/>
    <w:rsid w:val="14363E84"/>
    <w:rsid w:val="143B30AD"/>
    <w:rsid w:val="143D057B"/>
    <w:rsid w:val="143D2BD1"/>
    <w:rsid w:val="143E160F"/>
    <w:rsid w:val="14416121"/>
    <w:rsid w:val="144717F6"/>
    <w:rsid w:val="14471E16"/>
    <w:rsid w:val="144E2E65"/>
    <w:rsid w:val="144F76A8"/>
    <w:rsid w:val="14503797"/>
    <w:rsid w:val="14530535"/>
    <w:rsid w:val="145F3802"/>
    <w:rsid w:val="146B4BC1"/>
    <w:rsid w:val="146E5BB6"/>
    <w:rsid w:val="147020BC"/>
    <w:rsid w:val="147115B3"/>
    <w:rsid w:val="14767966"/>
    <w:rsid w:val="147D3D4E"/>
    <w:rsid w:val="147D5115"/>
    <w:rsid w:val="147F430C"/>
    <w:rsid w:val="148C2962"/>
    <w:rsid w:val="1491406D"/>
    <w:rsid w:val="14972859"/>
    <w:rsid w:val="149841F4"/>
    <w:rsid w:val="1499520A"/>
    <w:rsid w:val="149C1931"/>
    <w:rsid w:val="149C29CF"/>
    <w:rsid w:val="149F4D92"/>
    <w:rsid w:val="14A4001B"/>
    <w:rsid w:val="14A43F08"/>
    <w:rsid w:val="14A56EB9"/>
    <w:rsid w:val="14A93988"/>
    <w:rsid w:val="14AA5696"/>
    <w:rsid w:val="14AB00F4"/>
    <w:rsid w:val="14AB2BB9"/>
    <w:rsid w:val="14AD5DD3"/>
    <w:rsid w:val="14AE0BF8"/>
    <w:rsid w:val="14B06228"/>
    <w:rsid w:val="14B20F69"/>
    <w:rsid w:val="14B41B45"/>
    <w:rsid w:val="14B61407"/>
    <w:rsid w:val="14B92D28"/>
    <w:rsid w:val="14C11D02"/>
    <w:rsid w:val="14C30AC5"/>
    <w:rsid w:val="14C607E5"/>
    <w:rsid w:val="14C621FE"/>
    <w:rsid w:val="14CB29D1"/>
    <w:rsid w:val="14CB3348"/>
    <w:rsid w:val="14D0319D"/>
    <w:rsid w:val="14D108BF"/>
    <w:rsid w:val="14D945C6"/>
    <w:rsid w:val="14E4718F"/>
    <w:rsid w:val="14EF12C0"/>
    <w:rsid w:val="14F36A2C"/>
    <w:rsid w:val="14F523DD"/>
    <w:rsid w:val="14F53A9E"/>
    <w:rsid w:val="14FE7551"/>
    <w:rsid w:val="14FF1D3D"/>
    <w:rsid w:val="15037927"/>
    <w:rsid w:val="1505027D"/>
    <w:rsid w:val="15183732"/>
    <w:rsid w:val="151C291B"/>
    <w:rsid w:val="151E1BD4"/>
    <w:rsid w:val="151E4ECF"/>
    <w:rsid w:val="152166CC"/>
    <w:rsid w:val="15244422"/>
    <w:rsid w:val="152D2228"/>
    <w:rsid w:val="152F4368"/>
    <w:rsid w:val="152F6D7A"/>
    <w:rsid w:val="15355F1D"/>
    <w:rsid w:val="1537604C"/>
    <w:rsid w:val="153958B4"/>
    <w:rsid w:val="153B3F0D"/>
    <w:rsid w:val="153D5A60"/>
    <w:rsid w:val="153E42DE"/>
    <w:rsid w:val="15431BC1"/>
    <w:rsid w:val="15453B8B"/>
    <w:rsid w:val="15461A2E"/>
    <w:rsid w:val="15487F0C"/>
    <w:rsid w:val="154E2C2E"/>
    <w:rsid w:val="1553387C"/>
    <w:rsid w:val="155B6F0B"/>
    <w:rsid w:val="155D78E0"/>
    <w:rsid w:val="155F2B3A"/>
    <w:rsid w:val="15604BD1"/>
    <w:rsid w:val="15644ABD"/>
    <w:rsid w:val="156B12BC"/>
    <w:rsid w:val="157065FF"/>
    <w:rsid w:val="15754CAD"/>
    <w:rsid w:val="157D0899"/>
    <w:rsid w:val="15827CA9"/>
    <w:rsid w:val="158A55D3"/>
    <w:rsid w:val="15933BC7"/>
    <w:rsid w:val="159772AA"/>
    <w:rsid w:val="159B2898"/>
    <w:rsid w:val="159D4A3E"/>
    <w:rsid w:val="15A303F1"/>
    <w:rsid w:val="15A94AAF"/>
    <w:rsid w:val="15AA6F86"/>
    <w:rsid w:val="15AB36FE"/>
    <w:rsid w:val="15AD250F"/>
    <w:rsid w:val="15AE4DFA"/>
    <w:rsid w:val="15B20BED"/>
    <w:rsid w:val="15B307BD"/>
    <w:rsid w:val="15B57910"/>
    <w:rsid w:val="15BF5211"/>
    <w:rsid w:val="15C471A6"/>
    <w:rsid w:val="15C56ACC"/>
    <w:rsid w:val="15C87B03"/>
    <w:rsid w:val="15CF1740"/>
    <w:rsid w:val="15D13D81"/>
    <w:rsid w:val="15D171CD"/>
    <w:rsid w:val="15DC2F80"/>
    <w:rsid w:val="15DC39D0"/>
    <w:rsid w:val="15E03F63"/>
    <w:rsid w:val="15E53BBC"/>
    <w:rsid w:val="15E60E5E"/>
    <w:rsid w:val="15F71C9A"/>
    <w:rsid w:val="15F82141"/>
    <w:rsid w:val="15FA5245"/>
    <w:rsid w:val="15FC15E7"/>
    <w:rsid w:val="15FD3544"/>
    <w:rsid w:val="16001475"/>
    <w:rsid w:val="1604099C"/>
    <w:rsid w:val="160457F4"/>
    <w:rsid w:val="1608463E"/>
    <w:rsid w:val="160E51B0"/>
    <w:rsid w:val="16102658"/>
    <w:rsid w:val="16136C05"/>
    <w:rsid w:val="162230C2"/>
    <w:rsid w:val="162C0811"/>
    <w:rsid w:val="162C5B57"/>
    <w:rsid w:val="162F529E"/>
    <w:rsid w:val="16343351"/>
    <w:rsid w:val="16351902"/>
    <w:rsid w:val="16353148"/>
    <w:rsid w:val="16361DF1"/>
    <w:rsid w:val="16391778"/>
    <w:rsid w:val="164179D0"/>
    <w:rsid w:val="164348EB"/>
    <w:rsid w:val="164A568E"/>
    <w:rsid w:val="164B7CEE"/>
    <w:rsid w:val="164C39B3"/>
    <w:rsid w:val="164D0F49"/>
    <w:rsid w:val="164F764A"/>
    <w:rsid w:val="165412A6"/>
    <w:rsid w:val="16560109"/>
    <w:rsid w:val="16572A00"/>
    <w:rsid w:val="165A7C09"/>
    <w:rsid w:val="165D23E0"/>
    <w:rsid w:val="16673263"/>
    <w:rsid w:val="167F0F03"/>
    <w:rsid w:val="16801432"/>
    <w:rsid w:val="168179FC"/>
    <w:rsid w:val="168F25B0"/>
    <w:rsid w:val="16924A65"/>
    <w:rsid w:val="16926D80"/>
    <w:rsid w:val="169326D4"/>
    <w:rsid w:val="16A2669E"/>
    <w:rsid w:val="16A8392C"/>
    <w:rsid w:val="16AE5928"/>
    <w:rsid w:val="16AF2F80"/>
    <w:rsid w:val="16B12DD8"/>
    <w:rsid w:val="16B53116"/>
    <w:rsid w:val="16BB3FEF"/>
    <w:rsid w:val="16BF780C"/>
    <w:rsid w:val="16C45831"/>
    <w:rsid w:val="16C607FE"/>
    <w:rsid w:val="16C870A5"/>
    <w:rsid w:val="16CA6A9F"/>
    <w:rsid w:val="16CF7096"/>
    <w:rsid w:val="16D07763"/>
    <w:rsid w:val="16D545DF"/>
    <w:rsid w:val="16D71A0A"/>
    <w:rsid w:val="16DE6C2A"/>
    <w:rsid w:val="16E175AE"/>
    <w:rsid w:val="16E747E4"/>
    <w:rsid w:val="16E75956"/>
    <w:rsid w:val="16E80942"/>
    <w:rsid w:val="16EA0092"/>
    <w:rsid w:val="16F35924"/>
    <w:rsid w:val="16F51F9C"/>
    <w:rsid w:val="16F615E1"/>
    <w:rsid w:val="16FA0881"/>
    <w:rsid w:val="16FF37A1"/>
    <w:rsid w:val="17053EE5"/>
    <w:rsid w:val="17083A4E"/>
    <w:rsid w:val="170960DC"/>
    <w:rsid w:val="170A0C4E"/>
    <w:rsid w:val="17102766"/>
    <w:rsid w:val="1710317F"/>
    <w:rsid w:val="171309C8"/>
    <w:rsid w:val="171314C1"/>
    <w:rsid w:val="17142BE6"/>
    <w:rsid w:val="17142E07"/>
    <w:rsid w:val="17151A7D"/>
    <w:rsid w:val="17163A31"/>
    <w:rsid w:val="171C390C"/>
    <w:rsid w:val="17216322"/>
    <w:rsid w:val="17234814"/>
    <w:rsid w:val="1728283E"/>
    <w:rsid w:val="172D54B7"/>
    <w:rsid w:val="17316999"/>
    <w:rsid w:val="17320283"/>
    <w:rsid w:val="173655EA"/>
    <w:rsid w:val="174013C4"/>
    <w:rsid w:val="17404619"/>
    <w:rsid w:val="174114F2"/>
    <w:rsid w:val="17435EA8"/>
    <w:rsid w:val="17444F7A"/>
    <w:rsid w:val="174A17B5"/>
    <w:rsid w:val="174B0663"/>
    <w:rsid w:val="174E1BE9"/>
    <w:rsid w:val="175305C2"/>
    <w:rsid w:val="17564B60"/>
    <w:rsid w:val="17634DCA"/>
    <w:rsid w:val="176A42C1"/>
    <w:rsid w:val="17771D9B"/>
    <w:rsid w:val="177A1852"/>
    <w:rsid w:val="1780534F"/>
    <w:rsid w:val="17834AC5"/>
    <w:rsid w:val="17844F9F"/>
    <w:rsid w:val="17852FE7"/>
    <w:rsid w:val="17903E8F"/>
    <w:rsid w:val="17937E8A"/>
    <w:rsid w:val="17970494"/>
    <w:rsid w:val="17990F19"/>
    <w:rsid w:val="179B0F5B"/>
    <w:rsid w:val="179B48C9"/>
    <w:rsid w:val="179D0649"/>
    <w:rsid w:val="17A4625E"/>
    <w:rsid w:val="17AA458E"/>
    <w:rsid w:val="17B17ADA"/>
    <w:rsid w:val="17B75E84"/>
    <w:rsid w:val="17C4714C"/>
    <w:rsid w:val="17CA684E"/>
    <w:rsid w:val="17CB1D44"/>
    <w:rsid w:val="17D631C0"/>
    <w:rsid w:val="17D77062"/>
    <w:rsid w:val="17E303B7"/>
    <w:rsid w:val="17E82EC5"/>
    <w:rsid w:val="17F13E0E"/>
    <w:rsid w:val="17F47F6D"/>
    <w:rsid w:val="17FB2C27"/>
    <w:rsid w:val="1806304F"/>
    <w:rsid w:val="180731C9"/>
    <w:rsid w:val="180755C8"/>
    <w:rsid w:val="1809037B"/>
    <w:rsid w:val="180F4038"/>
    <w:rsid w:val="18147845"/>
    <w:rsid w:val="18183894"/>
    <w:rsid w:val="182A418A"/>
    <w:rsid w:val="182D3514"/>
    <w:rsid w:val="18345E9A"/>
    <w:rsid w:val="183D2B26"/>
    <w:rsid w:val="183E5C00"/>
    <w:rsid w:val="183F66D6"/>
    <w:rsid w:val="184015D7"/>
    <w:rsid w:val="184B5B42"/>
    <w:rsid w:val="18554C91"/>
    <w:rsid w:val="18566426"/>
    <w:rsid w:val="185842F5"/>
    <w:rsid w:val="185B50AB"/>
    <w:rsid w:val="18615322"/>
    <w:rsid w:val="186235B1"/>
    <w:rsid w:val="18634EE3"/>
    <w:rsid w:val="18694035"/>
    <w:rsid w:val="186B3CF9"/>
    <w:rsid w:val="187632DE"/>
    <w:rsid w:val="18783790"/>
    <w:rsid w:val="187D77AA"/>
    <w:rsid w:val="18865983"/>
    <w:rsid w:val="188B30C6"/>
    <w:rsid w:val="189A3D2A"/>
    <w:rsid w:val="189E18AA"/>
    <w:rsid w:val="18A4506D"/>
    <w:rsid w:val="18AE37F5"/>
    <w:rsid w:val="18B0740D"/>
    <w:rsid w:val="18B114B2"/>
    <w:rsid w:val="18BD3CF8"/>
    <w:rsid w:val="18BF56FF"/>
    <w:rsid w:val="18C6699F"/>
    <w:rsid w:val="18D2577A"/>
    <w:rsid w:val="18D33AC5"/>
    <w:rsid w:val="18D36D04"/>
    <w:rsid w:val="18D41467"/>
    <w:rsid w:val="18D52CAC"/>
    <w:rsid w:val="18D97EE7"/>
    <w:rsid w:val="18E36E1D"/>
    <w:rsid w:val="18E87690"/>
    <w:rsid w:val="18FA1D16"/>
    <w:rsid w:val="18FA3E75"/>
    <w:rsid w:val="18FB2BB3"/>
    <w:rsid w:val="18FD1304"/>
    <w:rsid w:val="18FD7130"/>
    <w:rsid w:val="19074DD9"/>
    <w:rsid w:val="190B1775"/>
    <w:rsid w:val="19121FD6"/>
    <w:rsid w:val="191D76F8"/>
    <w:rsid w:val="19243AC4"/>
    <w:rsid w:val="1925093A"/>
    <w:rsid w:val="192B7CF7"/>
    <w:rsid w:val="192D729D"/>
    <w:rsid w:val="193034D5"/>
    <w:rsid w:val="193957B5"/>
    <w:rsid w:val="19397270"/>
    <w:rsid w:val="193C29C9"/>
    <w:rsid w:val="193D0126"/>
    <w:rsid w:val="194702DA"/>
    <w:rsid w:val="194B3A1A"/>
    <w:rsid w:val="194F553E"/>
    <w:rsid w:val="195734C4"/>
    <w:rsid w:val="195A05DB"/>
    <w:rsid w:val="196336DC"/>
    <w:rsid w:val="196509B5"/>
    <w:rsid w:val="196721D6"/>
    <w:rsid w:val="19676A22"/>
    <w:rsid w:val="196A1077"/>
    <w:rsid w:val="19776D53"/>
    <w:rsid w:val="19785694"/>
    <w:rsid w:val="197C2B98"/>
    <w:rsid w:val="198030D9"/>
    <w:rsid w:val="198456D3"/>
    <w:rsid w:val="1988654E"/>
    <w:rsid w:val="198C2764"/>
    <w:rsid w:val="19902C46"/>
    <w:rsid w:val="199B1C1D"/>
    <w:rsid w:val="199B4577"/>
    <w:rsid w:val="19A35B9D"/>
    <w:rsid w:val="19A37BFE"/>
    <w:rsid w:val="19AB2BDD"/>
    <w:rsid w:val="19AC093D"/>
    <w:rsid w:val="19B06B85"/>
    <w:rsid w:val="19B106CC"/>
    <w:rsid w:val="19B26EF0"/>
    <w:rsid w:val="19B473D4"/>
    <w:rsid w:val="19B73355"/>
    <w:rsid w:val="19BA0909"/>
    <w:rsid w:val="19BB7D8C"/>
    <w:rsid w:val="19BC68B7"/>
    <w:rsid w:val="19C13E89"/>
    <w:rsid w:val="19C239FC"/>
    <w:rsid w:val="19C37FD7"/>
    <w:rsid w:val="19C74968"/>
    <w:rsid w:val="19D146A4"/>
    <w:rsid w:val="19D4019A"/>
    <w:rsid w:val="19D56314"/>
    <w:rsid w:val="19DD136E"/>
    <w:rsid w:val="19E959DE"/>
    <w:rsid w:val="19EB4A8F"/>
    <w:rsid w:val="19EC7BBD"/>
    <w:rsid w:val="19F73776"/>
    <w:rsid w:val="19F95707"/>
    <w:rsid w:val="19FB1840"/>
    <w:rsid w:val="19FB6F0E"/>
    <w:rsid w:val="19FD5FC6"/>
    <w:rsid w:val="1A004B69"/>
    <w:rsid w:val="1A0702AE"/>
    <w:rsid w:val="1A080D19"/>
    <w:rsid w:val="1A0F4768"/>
    <w:rsid w:val="1A146990"/>
    <w:rsid w:val="1A17096A"/>
    <w:rsid w:val="1A1D72CB"/>
    <w:rsid w:val="1A1F56E6"/>
    <w:rsid w:val="1A263D19"/>
    <w:rsid w:val="1A2A5334"/>
    <w:rsid w:val="1A2B77F4"/>
    <w:rsid w:val="1A2E2B99"/>
    <w:rsid w:val="1A301528"/>
    <w:rsid w:val="1A3270FF"/>
    <w:rsid w:val="1A3664FF"/>
    <w:rsid w:val="1A3F7BAB"/>
    <w:rsid w:val="1A4061A2"/>
    <w:rsid w:val="1A496097"/>
    <w:rsid w:val="1A525171"/>
    <w:rsid w:val="1A530AF8"/>
    <w:rsid w:val="1A54110F"/>
    <w:rsid w:val="1A542EC1"/>
    <w:rsid w:val="1A576C62"/>
    <w:rsid w:val="1A582963"/>
    <w:rsid w:val="1A5B0C00"/>
    <w:rsid w:val="1A5D32A3"/>
    <w:rsid w:val="1A670192"/>
    <w:rsid w:val="1A67285E"/>
    <w:rsid w:val="1A6E35D0"/>
    <w:rsid w:val="1A78248D"/>
    <w:rsid w:val="1A785C6A"/>
    <w:rsid w:val="1A7E0621"/>
    <w:rsid w:val="1A807414"/>
    <w:rsid w:val="1A8B218B"/>
    <w:rsid w:val="1A904B50"/>
    <w:rsid w:val="1A912716"/>
    <w:rsid w:val="1A937071"/>
    <w:rsid w:val="1A9E546C"/>
    <w:rsid w:val="1AA41354"/>
    <w:rsid w:val="1AA4244B"/>
    <w:rsid w:val="1AAF5D9D"/>
    <w:rsid w:val="1AB53561"/>
    <w:rsid w:val="1ABB3394"/>
    <w:rsid w:val="1ABF3B19"/>
    <w:rsid w:val="1AC844D6"/>
    <w:rsid w:val="1ACA68A1"/>
    <w:rsid w:val="1ACF08D4"/>
    <w:rsid w:val="1ACF6AFE"/>
    <w:rsid w:val="1AD046FC"/>
    <w:rsid w:val="1AD42EC8"/>
    <w:rsid w:val="1AD937B5"/>
    <w:rsid w:val="1ADC0670"/>
    <w:rsid w:val="1AE2533C"/>
    <w:rsid w:val="1AE259D8"/>
    <w:rsid w:val="1AE27590"/>
    <w:rsid w:val="1AEF3C7C"/>
    <w:rsid w:val="1AF132DE"/>
    <w:rsid w:val="1AF57963"/>
    <w:rsid w:val="1AF84139"/>
    <w:rsid w:val="1AFC6A9A"/>
    <w:rsid w:val="1B0014F1"/>
    <w:rsid w:val="1B0063AD"/>
    <w:rsid w:val="1B0250C2"/>
    <w:rsid w:val="1B035813"/>
    <w:rsid w:val="1B05604B"/>
    <w:rsid w:val="1B08129E"/>
    <w:rsid w:val="1B083840"/>
    <w:rsid w:val="1B0D5BD2"/>
    <w:rsid w:val="1B103D1A"/>
    <w:rsid w:val="1B12246C"/>
    <w:rsid w:val="1B1359A5"/>
    <w:rsid w:val="1B197773"/>
    <w:rsid w:val="1B1D1724"/>
    <w:rsid w:val="1B286EE7"/>
    <w:rsid w:val="1B2D0D2A"/>
    <w:rsid w:val="1B306F48"/>
    <w:rsid w:val="1B31507C"/>
    <w:rsid w:val="1B3571E0"/>
    <w:rsid w:val="1B38452B"/>
    <w:rsid w:val="1B3C297C"/>
    <w:rsid w:val="1B3D3598"/>
    <w:rsid w:val="1B43291B"/>
    <w:rsid w:val="1B4C6D11"/>
    <w:rsid w:val="1B5472EE"/>
    <w:rsid w:val="1B571C6A"/>
    <w:rsid w:val="1B5834A1"/>
    <w:rsid w:val="1B59213E"/>
    <w:rsid w:val="1B5A7C65"/>
    <w:rsid w:val="1B5B03C9"/>
    <w:rsid w:val="1B5C6986"/>
    <w:rsid w:val="1B623A11"/>
    <w:rsid w:val="1B6B1E72"/>
    <w:rsid w:val="1B746F78"/>
    <w:rsid w:val="1B77417A"/>
    <w:rsid w:val="1B7A4263"/>
    <w:rsid w:val="1B7D2178"/>
    <w:rsid w:val="1B7E7965"/>
    <w:rsid w:val="1B7F72C2"/>
    <w:rsid w:val="1B814C5A"/>
    <w:rsid w:val="1B9273FE"/>
    <w:rsid w:val="1B9A1FC8"/>
    <w:rsid w:val="1BA23D6C"/>
    <w:rsid w:val="1BA33AB2"/>
    <w:rsid w:val="1BAC5680"/>
    <w:rsid w:val="1BAD09CC"/>
    <w:rsid w:val="1BAE2D87"/>
    <w:rsid w:val="1BB53AEE"/>
    <w:rsid w:val="1BB57768"/>
    <w:rsid w:val="1BBB10B3"/>
    <w:rsid w:val="1BC278CB"/>
    <w:rsid w:val="1BC71EAB"/>
    <w:rsid w:val="1BCE768E"/>
    <w:rsid w:val="1BD12437"/>
    <w:rsid w:val="1BD22910"/>
    <w:rsid w:val="1BD30BFB"/>
    <w:rsid w:val="1BD862DF"/>
    <w:rsid w:val="1BE86BC7"/>
    <w:rsid w:val="1BE87CD9"/>
    <w:rsid w:val="1BED7B8A"/>
    <w:rsid w:val="1BF352B2"/>
    <w:rsid w:val="1BF80017"/>
    <w:rsid w:val="1BF862AF"/>
    <w:rsid w:val="1BFC48C8"/>
    <w:rsid w:val="1C0647CD"/>
    <w:rsid w:val="1C066BA4"/>
    <w:rsid w:val="1C081538"/>
    <w:rsid w:val="1C0A1BA7"/>
    <w:rsid w:val="1C0D0E57"/>
    <w:rsid w:val="1C0E0246"/>
    <w:rsid w:val="1C105C86"/>
    <w:rsid w:val="1C215983"/>
    <w:rsid w:val="1C2F5AFE"/>
    <w:rsid w:val="1C313B62"/>
    <w:rsid w:val="1C363173"/>
    <w:rsid w:val="1C3D09B7"/>
    <w:rsid w:val="1C4163D0"/>
    <w:rsid w:val="1C422C48"/>
    <w:rsid w:val="1C426473"/>
    <w:rsid w:val="1C4B79A0"/>
    <w:rsid w:val="1C4E324E"/>
    <w:rsid w:val="1C5073CF"/>
    <w:rsid w:val="1C51411D"/>
    <w:rsid w:val="1C532C04"/>
    <w:rsid w:val="1C557512"/>
    <w:rsid w:val="1C574545"/>
    <w:rsid w:val="1C625EA1"/>
    <w:rsid w:val="1C637FC7"/>
    <w:rsid w:val="1C6568C1"/>
    <w:rsid w:val="1C6D688A"/>
    <w:rsid w:val="1C730203"/>
    <w:rsid w:val="1C757C77"/>
    <w:rsid w:val="1C7643F0"/>
    <w:rsid w:val="1C7824E7"/>
    <w:rsid w:val="1C7B06C3"/>
    <w:rsid w:val="1C810F9E"/>
    <w:rsid w:val="1C8111C4"/>
    <w:rsid w:val="1C821221"/>
    <w:rsid w:val="1C8265E5"/>
    <w:rsid w:val="1C8462C6"/>
    <w:rsid w:val="1C882053"/>
    <w:rsid w:val="1C891069"/>
    <w:rsid w:val="1C8949DC"/>
    <w:rsid w:val="1C911F10"/>
    <w:rsid w:val="1C935809"/>
    <w:rsid w:val="1C951171"/>
    <w:rsid w:val="1C9936F0"/>
    <w:rsid w:val="1C9B2752"/>
    <w:rsid w:val="1C9B6FB4"/>
    <w:rsid w:val="1C9F77FE"/>
    <w:rsid w:val="1CA00D5E"/>
    <w:rsid w:val="1CA052F9"/>
    <w:rsid w:val="1CA3724C"/>
    <w:rsid w:val="1CA64D82"/>
    <w:rsid w:val="1CA77835"/>
    <w:rsid w:val="1CAE5105"/>
    <w:rsid w:val="1CAF4367"/>
    <w:rsid w:val="1CB55131"/>
    <w:rsid w:val="1CBB0428"/>
    <w:rsid w:val="1CC42C6D"/>
    <w:rsid w:val="1CC73DC6"/>
    <w:rsid w:val="1CC8120C"/>
    <w:rsid w:val="1CCF2E7E"/>
    <w:rsid w:val="1CD11B7B"/>
    <w:rsid w:val="1CD5480A"/>
    <w:rsid w:val="1CD557F5"/>
    <w:rsid w:val="1CDE3AE1"/>
    <w:rsid w:val="1CED05C1"/>
    <w:rsid w:val="1CED66E9"/>
    <w:rsid w:val="1CEF2DD7"/>
    <w:rsid w:val="1CEF3DC0"/>
    <w:rsid w:val="1CF10693"/>
    <w:rsid w:val="1CF273C2"/>
    <w:rsid w:val="1CF77E61"/>
    <w:rsid w:val="1CF92461"/>
    <w:rsid w:val="1CFD6742"/>
    <w:rsid w:val="1D056901"/>
    <w:rsid w:val="1D072833"/>
    <w:rsid w:val="1D104CF2"/>
    <w:rsid w:val="1D177C06"/>
    <w:rsid w:val="1D1948D6"/>
    <w:rsid w:val="1D1E1536"/>
    <w:rsid w:val="1D1F2AB8"/>
    <w:rsid w:val="1D275557"/>
    <w:rsid w:val="1D2B05F7"/>
    <w:rsid w:val="1D2E256A"/>
    <w:rsid w:val="1D2F75FB"/>
    <w:rsid w:val="1D341FD3"/>
    <w:rsid w:val="1D376F6E"/>
    <w:rsid w:val="1D383FD6"/>
    <w:rsid w:val="1D3A420C"/>
    <w:rsid w:val="1D3F36E7"/>
    <w:rsid w:val="1D472D3D"/>
    <w:rsid w:val="1D5277E1"/>
    <w:rsid w:val="1D540A79"/>
    <w:rsid w:val="1D555493"/>
    <w:rsid w:val="1D5821DC"/>
    <w:rsid w:val="1D590290"/>
    <w:rsid w:val="1D5A3C56"/>
    <w:rsid w:val="1D615E90"/>
    <w:rsid w:val="1D6D1834"/>
    <w:rsid w:val="1D756FD8"/>
    <w:rsid w:val="1D771366"/>
    <w:rsid w:val="1D790C46"/>
    <w:rsid w:val="1D7F1C04"/>
    <w:rsid w:val="1D805A24"/>
    <w:rsid w:val="1D832BD5"/>
    <w:rsid w:val="1D84291A"/>
    <w:rsid w:val="1D916307"/>
    <w:rsid w:val="1D9266BA"/>
    <w:rsid w:val="1D9F4D1E"/>
    <w:rsid w:val="1DA61FF6"/>
    <w:rsid w:val="1DA74F13"/>
    <w:rsid w:val="1DAC7E3F"/>
    <w:rsid w:val="1DB0627D"/>
    <w:rsid w:val="1DB52107"/>
    <w:rsid w:val="1DB525BD"/>
    <w:rsid w:val="1DB57470"/>
    <w:rsid w:val="1DB93368"/>
    <w:rsid w:val="1DC6422A"/>
    <w:rsid w:val="1DCB5525"/>
    <w:rsid w:val="1DCD7D62"/>
    <w:rsid w:val="1DD46776"/>
    <w:rsid w:val="1DDC2464"/>
    <w:rsid w:val="1DDE1FB4"/>
    <w:rsid w:val="1DE118B6"/>
    <w:rsid w:val="1DEB213B"/>
    <w:rsid w:val="1DEE08FE"/>
    <w:rsid w:val="1DEF352E"/>
    <w:rsid w:val="1DF349F1"/>
    <w:rsid w:val="1DF706C3"/>
    <w:rsid w:val="1DFA6EC3"/>
    <w:rsid w:val="1DFC0CE6"/>
    <w:rsid w:val="1DFC2294"/>
    <w:rsid w:val="1E082BBD"/>
    <w:rsid w:val="1E08464C"/>
    <w:rsid w:val="1E1064DA"/>
    <w:rsid w:val="1E12611C"/>
    <w:rsid w:val="1E1455BF"/>
    <w:rsid w:val="1E1B2F1E"/>
    <w:rsid w:val="1E1B7995"/>
    <w:rsid w:val="1E1F3DB2"/>
    <w:rsid w:val="1E205E9D"/>
    <w:rsid w:val="1E2474D3"/>
    <w:rsid w:val="1E25159F"/>
    <w:rsid w:val="1E2664CE"/>
    <w:rsid w:val="1E286AE8"/>
    <w:rsid w:val="1E293CFA"/>
    <w:rsid w:val="1E2C3CE4"/>
    <w:rsid w:val="1E2C4155"/>
    <w:rsid w:val="1E2E35AE"/>
    <w:rsid w:val="1E2F08EA"/>
    <w:rsid w:val="1E2F53D8"/>
    <w:rsid w:val="1E30042F"/>
    <w:rsid w:val="1E3107A8"/>
    <w:rsid w:val="1E316040"/>
    <w:rsid w:val="1E32104C"/>
    <w:rsid w:val="1E324D22"/>
    <w:rsid w:val="1E333F33"/>
    <w:rsid w:val="1E340C41"/>
    <w:rsid w:val="1E397B74"/>
    <w:rsid w:val="1E3C3551"/>
    <w:rsid w:val="1E435691"/>
    <w:rsid w:val="1E4415F7"/>
    <w:rsid w:val="1E481878"/>
    <w:rsid w:val="1E5658F6"/>
    <w:rsid w:val="1E576392"/>
    <w:rsid w:val="1E5A1BCB"/>
    <w:rsid w:val="1E5D337B"/>
    <w:rsid w:val="1E5E0BC5"/>
    <w:rsid w:val="1E606F00"/>
    <w:rsid w:val="1E66166C"/>
    <w:rsid w:val="1E663D10"/>
    <w:rsid w:val="1E663FDD"/>
    <w:rsid w:val="1E67537C"/>
    <w:rsid w:val="1E704385"/>
    <w:rsid w:val="1E707371"/>
    <w:rsid w:val="1E713F8B"/>
    <w:rsid w:val="1E7179D1"/>
    <w:rsid w:val="1E736D75"/>
    <w:rsid w:val="1E7E58E4"/>
    <w:rsid w:val="1E86556F"/>
    <w:rsid w:val="1E867442"/>
    <w:rsid w:val="1E890A74"/>
    <w:rsid w:val="1E907278"/>
    <w:rsid w:val="1E912390"/>
    <w:rsid w:val="1E916AC2"/>
    <w:rsid w:val="1E965458"/>
    <w:rsid w:val="1E996B3A"/>
    <w:rsid w:val="1E9C0397"/>
    <w:rsid w:val="1E9F381A"/>
    <w:rsid w:val="1EA24C6C"/>
    <w:rsid w:val="1EA8104B"/>
    <w:rsid w:val="1EA92DA6"/>
    <w:rsid w:val="1EAE042B"/>
    <w:rsid w:val="1EAE2B2D"/>
    <w:rsid w:val="1EB03B4C"/>
    <w:rsid w:val="1EB06519"/>
    <w:rsid w:val="1EB11325"/>
    <w:rsid w:val="1EB33FEA"/>
    <w:rsid w:val="1EB941C0"/>
    <w:rsid w:val="1EBF7FA0"/>
    <w:rsid w:val="1EC11908"/>
    <w:rsid w:val="1EC2400E"/>
    <w:rsid w:val="1EC42888"/>
    <w:rsid w:val="1EC8234E"/>
    <w:rsid w:val="1ED22A06"/>
    <w:rsid w:val="1ED551F2"/>
    <w:rsid w:val="1EDC23DC"/>
    <w:rsid w:val="1EE41767"/>
    <w:rsid w:val="1EE5539B"/>
    <w:rsid w:val="1EE55F7D"/>
    <w:rsid w:val="1EED09FE"/>
    <w:rsid w:val="1EED7CDC"/>
    <w:rsid w:val="1EF04795"/>
    <w:rsid w:val="1EF10C2D"/>
    <w:rsid w:val="1EF403E0"/>
    <w:rsid w:val="1EF53F2C"/>
    <w:rsid w:val="1EF75D36"/>
    <w:rsid w:val="1EF85A00"/>
    <w:rsid w:val="1F010B23"/>
    <w:rsid w:val="1F051A76"/>
    <w:rsid w:val="1F0E5513"/>
    <w:rsid w:val="1F103D90"/>
    <w:rsid w:val="1F127697"/>
    <w:rsid w:val="1F134D12"/>
    <w:rsid w:val="1F151597"/>
    <w:rsid w:val="1F1E1EB9"/>
    <w:rsid w:val="1F1F44F8"/>
    <w:rsid w:val="1F271F97"/>
    <w:rsid w:val="1F2B6046"/>
    <w:rsid w:val="1F30765A"/>
    <w:rsid w:val="1F326BA5"/>
    <w:rsid w:val="1F355562"/>
    <w:rsid w:val="1F367C7E"/>
    <w:rsid w:val="1F374B84"/>
    <w:rsid w:val="1F3D6E81"/>
    <w:rsid w:val="1F45630D"/>
    <w:rsid w:val="1F4610D9"/>
    <w:rsid w:val="1F4E17FE"/>
    <w:rsid w:val="1F4E39B3"/>
    <w:rsid w:val="1F4F2D4D"/>
    <w:rsid w:val="1F537EA2"/>
    <w:rsid w:val="1F545AE8"/>
    <w:rsid w:val="1F5B3F51"/>
    <w:rsid w:val="1F5C2935"/>
    <w:rsid w:val="1F5C39B2"/>
    <w:rsid w:val="1F5D23BC"/>
    <w:rsid w:val="1F5D6124"/>
    <w:rsid w:val="1F6066E3"/>
    <w:rsid w:val="1F606931"/>
    <w:rsid w:val="1F61249A"/>
    <w:rsid w:val="1F672698"/>
    <w:rsid w:val="1F722A95"/>
    <w:rsid w:val="1F7778BD"/>
    <w:rsid w:val="1F854210"/>
    <w:rsid w:val="1F8E1197"/>
    <w:rsid w:val="1F8F5E5C"/>
    <w:rsid w:val="1F91312F"/>
    <w:rsid w:val="1F95570F"/>
    <w:rsid w:val="1F971487"/>
    <w:rsid w:val="1F98000C"/>
    <w:rsid w:val="1F9D79BC"/>
    <w:rsid w:val="1F9E0000"/>
    <w:rsid w:val="1F9E2816"/>
    <w:rsid w:val="1F9F1B9A"/>
    <w:rsid w:val="1FA047BA"/>
    <w:rsid w:val="1FA54088"/>
    <w:rsid w:val="1FA66210"/>
    <w:rsid w:val="1FA825B5"/>
    <w:rsid w:val="1FA92FC8"/>
    <w:rsid w:val="1FAE4B27"/>
    <w:rsid w:val="1FB0217B"/>
    <w:rsid w:val="1FB02194"/>
    <w:rsid w:val="1FB02382"/>
    <w:rsid w:val="1FB14798"/>
    <w:rsid w:val="1FB66EC1"/>
    <w:rsid w:val="1FB9689C"/>
    <w:rsid w:val="1FBD6E16"/>
    <w:rsid w:val="1FC51E40"/>
    <w:rsid w:val="1FC65512"/>
    <w:rsid w:val="1FC723FF"/>
    <w:rsid w:val="1FCB7383"/>
    <w:rsid w:val="1FCC1FE7"/>
    <w:rsid w:val="1FCE4D01"/>
    <w:rsid w:val="1FD3044B"/>
    <w:rsid w:val="1FD5424C"/>
    <w:rsid w:val="1FD66193"/>
    <w:rsid w:val="1FDC6BA2"/>
    <w:rsid w:val="1FE37781"/>
    <w:rsid w:val="1FE64ECD"/>
    <w:rsid w:val="1FE65A8B"/>
    <w:rsid w:val="1FEB72E3"/>
    <w:rsid w:val="1FEF7C15"/>
    <w:rsid w:val="1FF71F26"/>
    <w:rsid w:val="1FFB4360"/>
    <w:rsid w:val="1FFC12EA"/>
    <w:rsid w:val="1FFC6740"/>
    <w:rsid w:val="200807CC"/>
    <w:rsid w:val="200870DE"/>
    <w:rsid w:val="20092266"/>
    <w:rsid w:val="20104D96"/>
    <w:rsid w:val="20115D57"/>
    <w:rsid w:val="20161A6B"/>
    <w:rsid w:val="20167C8F"/>
    <w:rsid w:val="201D131B"/>
    <w:rsid w:val="20235DED"/>
    <w:rsid w:val="2029240B"/>
    <w:rsid w:val="202B2983"/>
    <w:rsid w:val="20441E66"/>
    <w:rsid w:val="2046333D"/>
    <w:rsid w:val="20561E70"/>
    <w:rsid w:val="20570461"/>
    <w:rsid w:val="205B309A"/>
    <w:rsid w:val="205D2474"/>
    <w:rsid w:val="205F74A6"/>
    <w:rsid w:val="20687ED9"/>
    <w:rsid w:val="206F4BAF"/>
    <w:rsid w:val="20723924"/>
    <w:rsid w:val="20742A2B"/>
    <w:rsid w:val="20774700"/>
    <w:rsid w:val="207D242B"/>
    <w:rsid w:val="2086073D"/>
    <w:rsid w:val="2087782A"/>
    <w:rsid w:val="2088772A"/>
    <w:rsid w:val="208A2186"/>
    <w:rsid w:val="208B2A02"/>
    <w:rsid w:val="208B3699"/>
    <w:rsid w:val="20912B7B"/>
    <w:rsid w:val="209271C7"/>
    <w:rsid w:val="20966112"/>
    <w:rsid w:val="2096703D"/>
    <w:rsid w:val="209715B5"/>
    <w:rsid w:val="2098623B"/>
    <w:rsid w:val="20A30A42"/>
    <w:rsid w:val="20A90274"/>
    <w:rsid w:val="20AA0700"/>
    <w:rsid w:val="20AE2C11"/>
    <w:rsid w:val="20B247E4"/>
    <w:rsid w:val="20B249C0"/>
    <w:rsid w:val="20B41328"/>
    <w:rsid w:val="20B633DC"/>
    <w:rsid w:val="20BA367F"/>
    <w:rsid w:val="20BA7F62"/>
    <w:rsid w:val="20C0056A"/>
    <w:rsid w:val="20C94E24"/>
    <w:rsid w:val="20CA1F87"/>
    <w:rsid w:val="20D72D8D"/>
    <w:rsid w:val="20D96C64"/>
    <w:rsid w:val="20DC2F3B"/>
    <w:rsid w:val="20DD736E"/>
    <w:rsid w:val="20DE6CCE"/>
    <w:rsid w:val="20E029BA"/>
    <w:rsid w:val="20E97253"/>
    <w:rsid w:val="20EC57A8"/>
    <w:rsid w:val="20FA39E1"/>
    <w:rsid w:val="210074AF"/>
    <w:rsid w:val="210512A2"/>
    <w:rsid w:val="21051429"/>
    <w:rsid w:val="21052E40"/>
    <w:rsid w:val="2105486C"/>
    <w:rsid w:val="21091F11"/>
    <w:rsid w:val="210C49A1"/>
    <w:rsid w:val="210E4616"/>
    <w:rsid w:val="211573A3"/>
    <w:rsid w:val="21224ABE"/>
    <w:rsid w:val="21260D15"/>
    <w:rsid w:val="212D087F"/>
    <w:rsid w:val="21320673"/>
    <w:rsid w:val="21373A22"/>
    <w:rsid w:val="213E58B9"/>
    <w:rsid w:val="213F5DC8"/>
    <w:rsid w:val="214178FD"/>
    <w:rsid w:val="214A5501"/>
    <w:rsid w:val="214F135F"/>
    <w:rsid w:val="215018EE"/>
    <w:rsid w:val="21562C7C"/>
    <w:rsid w:val="21562CC1"/>
    <w:rsid w:val="2159796E"/>
    <w:rsid w:val="215B661B"/>
    <w:rsid w:val="215D1B70"/>
    <w:rsid w:val="21645154"/>
    <w:rsid w:val="21674E89"/>
    <w:rsid w:val="216830DB"/>
    <w:rsid w:val="21690C01"/>
    <w:rsid w:val="216F3AFC"/>
    <w:rsid w:val="21705648"/>
    <w:rsid w:val="2171799F"/>
    <w:rsid w:val="21753806"/>
    <w:rsid w:val="21754734"/>
    <w:rsid w:val="21780687"/>
    <w:rsid w:val="217C41D8"/>
    <w:rsid w:val="2180242D"/>
    <w:rsid w:val="21816F46"/>
    <w:rsid w:val="218654CC"/>
    <w:rsid w:val="21885466"/>
    <w:rsid w:val="218D09DD"/>
    <w:rsid w:val="218F70EB"/>
    <w:rsid w:val="219537A4"/>
    <w:rsid w:val="219564E4"/>
    <w:rsid w:val="219C5F7B"/>
    <w:rsid w:val="21A106CB"/>
    <w:rsid w:val="21A27E80"/>
    <w:rsid w:val="21A44ACE"/>
    <w:rsid w:val="21AF72FD"/>
    <w:rsid w:val="21B55827"/>
    <w:rsid w:val="21C00A3A"/>
    <w:rsid w:val="21C212B3"/>
    <w:rsid w:val="21CB0179"/>
    <w:rsid w:val="21CB1561"/>
    <w:rsid w:val="21E07885"/>
    <w:rsid w:val="21E416E4"/>
    <w:rsid w:val="21EC4841"/>
    <w:rsid w:val="21F1509D"/>
    <w:rsid w:val="21F46277"/>
    <w:rsid w:val="21F553C7"/>
    <w:rsid w:val="21F84783"/>
    <w:rsid w:val="21F879CD"/>
    <w:rsid w:val="21FA7906"/>
    <w:rsid w:val="21FC3304"/>
    <w:rsid w:val="21FE631D"/>
    <w:rsid w:val="21FF50C2"/>
    <w:rsid w:val="22014719"/>
    <w:rsid w:val="2202223B"/>
    <w:rsid w:val="22121299"/>
    <w:rsid w:val="22176945"/>
    <w:rsid w:val="2220617E"/>
    <w:rsid w:val="22226948"/>
    <w:rsid w:val="222A06F7"/>
    <w:rsid w:val="222F4E13"/>
    <w:rsid w:val="222F59A7"/>
    <w:rsid w:val="22327288"/>
    <w:rsid w:val="22344402"/>
    <w:rsid w:val="22354CD1"/>
    <w:rsid w:val="223571D4"/>
    <w:rsid w:val="223854F5"/>
    <w:rsid w:val="224259A5"/>
    <w:rsid w:val="22427E42"/>
    <w:rsid w:val="224551CB"/>
    <w:rsid w:val="224B030F"/>
    <w:rsid w:val="224C21CB"/>
    <w:rsid w:val="22522E1F"/>
    <w:rsid w:val="22526C50"/>
    <w:rsid w:val="22564A0A"/>
    <w:rsid w:val="22592670"/>
    <w:rsid w:val="225D2AEF"/>
    <w:rsid w:val="22656D90"/>
    <w:rsid w:val="226668FF"/>
    <w:rsid w:val="226A7690"/>
    <w:rsid w:val="226B21A7"/>
    <w:rsid w:val="22720421"/>
    <w:rsid w:val="2276353B"/>
    <w:rsid w:val="22840F74"/>
    <w:rsid w:val="228B53CC"/>
    <w:rsid w:val="228B7542"/>
    <w:rsid w:val="228E4DC3"/>
    <w:rsid w:val="22925EE1"/>
    <w:rsid w:val="22940B2A"/>
    <w:rsid w:val="22986F92"/>
    <w:rsid w:val="229E0D7F"/>
    <w:rsid w:val="22A0619E"/>
    <w:rsid w:val="22A243CB"/>
    <w:rsid w:val="22A446A1"/>
    <w:rsid w:val="22B01A03"/>
    <w:rsid w:val="22B5682D"/>
    <w:rsid w:val="22BA56A5"/>
    <w:rsid w:val="22C36C01"/>
    <w:rsid w:val="22C72840"/>
    <w:rsid w:val="22C91BC8"/>
    <w:rsid w:val="22CB6527"/>
    <w:rsid w:val="22CD734D"/>
    <w:rsid w:val="22E75DEB"/>
    <w:rsid w:val="22EC6F4F"/>
    <w:rsid w:val="22F42D36"/>
    <w:rsid w:val="23015C43"/>
    <w:rsid w:val="23051A18"/>
    <w:rsid w:val="23055017"/>
    <w:rsid w:val="2307741D"/>
    <w:rsid w:val="230905B2"/>
    <w:rsid w:val="231117AF"/>
    <w:rsid w:val="231416F0"/>
    <w:rsid w:val="2318753E"/>
    <w:rsid w:val="231E08F5"/>
    <w:rsid w:val="23223915"/>
    <w:rsid w:val="23246E0B"/>
    <w:rsid w:val="2325424C"/>
    <w:rsid w:val="232556A1"/>
    <w:rsid w:val="232C7138"/>
    <w:rsid w:val="23306319"/>
    <w:rsid w:val="23342342"/>
    <w:rsid w:val="233D257C"/>
    <w:rsid w:val="23411AB1"/>
    <w:rsid w:val="23423BE9"/>
    <w:rsid w:val="23426009"/>
    <w:rsid w:val="2342795C"/>
    <w:rsid w:val="23437A88"/>
    <w:rsid w:val="234C0D5E"/>
    <w:rsid w:val="23515DF1"/>
    <w:rsid w:val="23541F3A"/>
    <w:rsid w:val="235576D0"/>
    <w:rsid w:val="235A14DE"/>
    <w:rsid w:val="235A2B8F"/>
    <w:rsid w:val="235D6544"/>
    <w:rsid w:val="236245F3"/>
    <w:rsid w:val="23630415"/>
    <w:rsid w:val="2364055E"/>
    <w:rsid w:val="236D2D58"/>
    <w:rsid w:val="23777564"/>
    <w:rsid w:val="23777E2F"/>
    <w:rsid w:val="2384297D"/>
    <w:rsid w:val="23850110"/>
    <w:rsid w:val="238F6DC9"/>
    <w:rsid w:val="239712BC"/>
    <w:rsid w:val="239F2472"/>
    <w:rsid w:val="23B00403"/>
    <w:rsid w:val="23B23446"/>
    <w:rsid w:val="23B259D7"/>
    <w:rsid w:val="23B278B5"/>
    <w:rsid w:val="23C67B2A"/>
    <w:rsid w:val="23D04F21"/>
    <w:rsid w:val="23D1386B"/>
    <w:rsid w:val="23D20F6B"/>
    <w:rsid w:val="23DA57B0"/>
    <w:rsid w:val="23DD0B66"/>
    <w:rsid w:val="23DE1A80"/>
    <w:rsid w:val="23ED0CB1"/>
    <w:rsid w:val="23ED1C46"/>
    <w:rsid w:val="23F20818"/>
    <w:rsid w:val="23FC51E8"/>
    <w:rsid w:val="2406129D"/>
    <w:rsid w:val="240822C1"/>
    <w:rsid w:val="240917F8"/>
    <w:rsid w:val="240F23EF"/>
    <w:rsid w:val="24115003"/>
    <w:rsid w:val="2414050C"/>
    <w:rsid w:val="241776FA"/>
    <w:rsid w:val="241D607B"/>
    <w:rsid w:val="241F3BAA"/>
    <w:rsid w:val="24216395"/>
    <w:rsid w:val="242366F4"/>
    <w:rsid w:val="24255E38"/>
    <w:rsid w:val="24321D55"/>
    <w:rsid w:val="243572F9"/>
    <w:rsid w:val="24364472"/>
    <w:rsid w:val="243A1B8D"/>
    <w:rsid w:val="243A63D2"/>
    <w:rsid w:val="243B5F43"/>
    <w:rsid w:val="244A706F"/>
    <w:rsid w:val="244F4D32"/>
    <w:rsid w:val="24525892"/>
    <w:rsid w:val="24545D7E"/>
    <w:rsid w:val="24545FC7"/>
    <w:rsid w:val="245A07FD"/>
    <w:rsid w:val="245A0F2C"/>
    <w:rsid w:val="245F2996"/>
    <w:rsid w:val="24653B0A"/>
    <w:rsid w:val="24655985"/>
    <w:rsid w:val="24657DE7"/>
    <w:rsid w:val="24665B3F"/>
    <w:rsid w:val="24677B49"/>
    <w:rsid w:val="24695CC2"/>
    <w:rsid w:val="24742EFC"/>
    <w:rsid w:val="247A3434"/>
    <w:rsid w:val="248336DD"/>
    <w:rsid w:val="248E657A"/>
    <w:rsid w:val="24947FB1"/>
    <w:rsid w:val="24956219"/>
    <w:rsid w:val="249577BB"/>
    <w:rsid w:val="2498714F"/>
    <w:rsid w:val="249C62B3"/>
    <w:rsid w:val="249D2D0E"/>
    <w:rsid w:val="24A7591D"/>
    <w:rsid w:val="24AD392A"/>
    <w:rsid w:val="24B22E36"/>
    <w:rsid w:val="24B655B4"/>
    <w:rsid w:val="24B97462"/>
    <w:rsid w:val="24BC3350"/>
    <w:rsid w:val="24BD0EF3"/>
    <w:rsid w:val="24BD579B"/>
    <w:rsid w:val="24C20CD1"/>
    <w:rsid w:val="24C257AA"/>
    <w:rsid w:val="24C533F9"/>
    <w:rsid w:val="24CA6F0B"/>
    <w:rsid w:val="24CC7B6A"/>
    <w:rsid w:val="24CE7262"/>
    <w:rsid w:val="24CF60FF"/>
    <w:rsid w:val="24D107EE"/>
    <w:rsid w:val="24D740D4"/>
    <w:rsid w:val="24E04D0D"/>
    <w:rsid w:val="24EC395C"/>
    <w:rsid w:val="24F24422"/>
    <w:rsid w:val="24F618FC"/>
    <w:rsid w:val="24FA662F"/>
    <w:rsid w:val="24FF42D8"/>
    <w:rsid w:val="250378DD"/>
    <w:rsid w:val="25070BF2"/>
    <w:rsid w:val="25084596"/>
    <w:rsid w:val="251010CC"/>
    <w:rsid w:val="2510495E"/>
    <w:rsid w:val="25146807"/>
    <w:rsid w:val="25161E6E"/>
    <w:rsid w:val="25202A1B"/>
    <w:rsid w:val="252031E2"/>
    <w:rsid w:val="25263081"/>
    <w:rsid w:val="252865AA"/>
    <w:rsid w:val="252A68FA"/>
    <w:rsid w:val="252A79A8"/>
    <w:rsid w:val="252B01C1"/>
    <w:rsid w:val="252B2D9D"/>
    <w:rsid w:val="252D1DF5"/>
    <w:rsid w:val="2530158F"/>
    <w:rsid w:val="25317C88"/>
    <w:rsid w:val="25323153"/>
    <w:rsid w:val="253974C3"/>
    <w:rsid w:val="25432CDA"/>
    <w:rsid w:val="25433033"/>
    <w:rsid w:val="25454611"/>
    <w:rsid w:val="254642AC"/>
    <w:rsid w:val="255045B2"/>
    <w:rsid w:val="255076E6"/>
    <w:rsid w:val="255F460B"/>
    <w:rsid w:val="25616B2C"/>
    <w:rsid w:val="25650FBE"/>
    <w:rsid w:val="256529E5"/>
    <w:rsid w:val="256D61A9"/>
    <w:rsid w:val="25770D8E"/>
    <w:rsid w:val="257D434E"/>
    <w:rsid w:val="2584425C"/>
    <w:rsid w:val="25857388"/>
    <w:rsid w:val="258D1A39"/>
    <w:rsid w:val="258E4317"/>
    <w:rsid w:val="258E78B8"/>
    <w:rsid w:val="25901F57"/>
    <w:rsid w:val="259326F1"/>
    <w:rsid w:val="25963254"/>
    <w:rsid w:val="25973D3D"/>
    <w:rsid w:val="259842AE"/>
    <w:rsid w:val="2599157D"/>
    <w:rsid w:val="25995D05"/>
    <w:rsid w:val="259B03A5"/>
    <w:rsid w:val="259B2EBF"/>
    <w:rsid w:val="259E7E17"/>
    <w:rsid w:val="25A76DC8"/>
    <w:rsid w:val="25B036AB"/>
    <w:rsid w:val="25B04DBA"/>
    <w:rsid w:val="25B077E5"/>
    <w:rsid w:val="25B10EFD"/>
    <w:rsid w:val="25B20DC9"/>
    <w:rsid w:val="25BD74ED"/>
    <w:rsid w:val="25BE4E1C"/>
    <w:rsid w:val="25BE6B63"/>
    <w:rsid w:val="25BF1268"/>
    <w:rsid w:val="25C36E55"/>
    <w:rsid w:val="25C5610B"/>
    <w:rsid w:val="25C66FEB"/>
    <w:rsid w:val="25D7626F"/>
    <w:rsid w:val="25D863AC"/>
    <w:rsid w:val="25DE52DB"/>
    <w:rsid w:val="25E031F0"/>
    <w:rsid w:val="25E21F3C"/>
    <w:rsid w:val="25E3646A"/>
    <w:rsid w:val="25E61BAE"/>
    <w:rsid w:val="25E72FEA"/>
    <w:rsid w:val="25E870FC"/>
    <w:rsid w:val="25ED2971"/>
    <w:rsid w:val="25F53844"/>
    <w:rsid w:val="26014DDC"/>
    <w:rsid w:val="26047794"/>
    <w:rsid w:val="260519BC"/>
    <w:rsid w:val="26093350"/>
    <w:rsid w:val="260965B4"/>
    <w:rsid w:val="260D2485"/>
    <w:rsid w:val="261470E2"/>
    <w:rsid w:val="261C1FB5"/>
    <w:rsid w:val="261C6242"/>
    <w:rsid w:val="26211127"/>
    <w:rsid w:val="26216F6C"/>
    <w:rsid w:val="262475DA"/>
    <w:rsid w:val="26260540"/>
    <w:rsid w:val="26266137"/>
    <w:rsid w:val="262873F9"/>
    <w:rsid w:val="262B6FAF"/>
    <w:rsid w:val="262F5CFD"/>
    <w:rsid w:val="2630438F"/>
    <w:rsid w:val="26306F27"/>
    <w:rsid w:val="26356F41"/>
    <w:rsid w:val="263C37BD"/>
    <w:rsid w:val="26425453"/>
    <w:rsid w:val="2644370D"/>
    <w:rsid w:val="26450486"/>
    <w:rsid w:val="26482498"/>
    <w:rsid w:val="264E196D"/>
    <w:rsid w:val="264E2DF8"/>
    <w:rsid w:val="26527DDB"/>
    <w:rsid w:val="2654379C"/>
    <w:rsid w:val="265441C5"/>
    <w:rsid w:val="265D77AF"/>
    <w:rsid w:val="26624ADF"/>
    <w:rsid w:val="266341D6"/>
    <w:rsid w:val="266D5EB5"/>
    <w:rsid w:val="266F6974"/>
    <w:rsid w:val="26700323"/>
    <w:rsid w:val="26787769"/>
    <w:rsid w:val="26797638"/>
    <w:rsid w:val="26826131"/>
    <w:rsid w:val="26827260"/>
    <w:rsid w:val="2684578A"/>
    <w:rsid w:val="268852D2"/>
    <w:rsid w:val="268B161A"/>
    <w:rsid w:val="268E1677"/>
    <w:rsid w:val="26913084"/>
    <w:rsid w:val="269243D4"/>
    <w:rsid w:val="26A779C6"/>
    <w:rsid w:val="26AF1631"/>
    <w:rsid w:val="26B0405E"/>
    <w:rsid w:val="26B446CD"/>
    <w:rsid w:val="26B5372C"/>
    <w:rsid w:val="26C012C4"/>
    <w:rsid w:val="26C14A80"/>
    <w:rsid w:val="26C15C8D"/>
    <w:rsid w:val="26C70290"/>
    <w:rsid w:val="26CA13AC"/>
    <w:rsid w:val="26CB20DB"/>
    <w:rsid w:val="26CC22E4"/>
    <w:rsid w:val="26CC586C"/>
    <w:rsid w:val="26D9627C"/>
    <w:rsid w:val="26D97B77"/>
    <w:rsid w:val="26E13030"/>
    <w:rsid w:val="26E426A4"/>
    <w:rsid w:val="26E50B84"/>
    <w:rsid w:val="26E56505"/>
    <w:rsid w:val="26ED1E9A"/>
    <w:rsid w:val="26EF3593"/>
    <w:rsid w:val="26F472C2"/>
    <w:rsid w:val="26F63E29"/>
    <w:rsid w:val="26F91806"/>
    <w:rsid w:val="26FD2EBF"/>
    <w:rsid w:val="26FF7651"/>
    <w:rsid w:val="27021BAE"/>
    <w:rsid w:val="270560D7"/>
    <w:rsid w:val="27065732"/>
    <w:rsid w:val="27065AAD"/>
    <w:rsid w:val="27074267"/>
    <w:rsid w:val="27080B42"/>
    <w:rsid w:val="270845EE"/>
    <w:rsid w:val="27097CC0"/>
    <w:rsid w:val="270A379D"/>
    <w:rsid w:val="270E64D3"/>
    <w:rsid w:val="270F4527"/>
    <w:rsid w:val="27144B58"/>
    <w:rsid w:val="27164E83"/>
    <w:rsid w:val="271E7186"/>
    <w:rsid w:val="27203C5A"/>
    <w:rsid w:val="27207FB4"/>
    <w:rsid w:val="27210093"/>
    <w:rsid w:val="272129E2"/>
    <w:rsid w:val="27226F93"/>
    <w:rsid w:val="27251901"/>
    <w:rsid w:val="27282731"/>
    <w:rsid w:val="272A5F6E"/>
    <w:rsid w:val="272D5B28"/>
    <w:rsid w:val="27332876"/>
    <w:rsid w:val="2733458D"/>
    <w:rsid w:val="27365D95"/>
    <w:rsid w:val="273D41F9"/>
    <w:rsid w:val="273F1A65"/>
    <w:rsid w:val="27404B71"/>
    <w:rsid w:val="274B6895"/>
    <w:rsid w:val="274B707C"/>
    <w:rsid w:val="27504929"/>
    <w:rsid w:val="27506410"/>
    <w:rsid w:val="27584406"/>
    <w:rsid w:val="275F203C"/>
    <w:rsid w:val="27737B08"/>
    <w:rsid w:val="27753FE3"/>
    <w:rsid w:val="27774C30"/>
    <w:rsid w:val="27777D39"/>
    <w:rsid w:val="277A6B2E"/>
    <w:rsid w:val="277B168E"/>
    <w:rsid w:val="277F5F03"/>
    <w:rsid w:val="27816D65"/>
    <w:rsid w:val="278421B3"/>
    <w:rsid w:val="27885D7F"/>
    <w:rsid w:val="278E3B42"/>
    <w:rsid w:val="278F4D99"/>
    <w:rsid w:val="27912A37"/>
    <w:rsid w:val="27915869"/>
    <w:rsid w:val="2796324F"/>
    <w:rsid w:val="279D39BA"/>
    <w:rsid w:val="279F537D"/>
    <w:rsid w:val="27A44907"/>
    <w:rsid w:val="27A731C2"/>
    <w:rsid w:val="27A903CC"/>
    <w:rsid w:val="27B32BD6"/>
    <w:rsid w:val="27B96057"/>
    <w:rsid w:val="27BA10C5"/>
    <w:rsid w:val="27BD1774"/>
    <w:rsid w:val="27C05D57"/>
    <w:rsid w:val="27CA117A"/>
    <w:rsid w:val="27CF075D"/>
    <w:rsid w:val="27D0038C"/>
    <w:rsid w:val="27D07063"/>
    <w:rsid w:val="27D334DA"/>
    <w:rsid w:val="27D87419"/>
    <w:rsid w:val="27DA344F"/>
    <w:rsid w:val="27DB68F0"/>
    <w:rsid w:val="27E2209F"/>
    <w:rsid w:val="27F8765D"/>
    <w:rsid w:val="28007E83"/>
    <w:rsid w:val="28017DE6"/>
    <w:rsid w:val="280C0A00"/>
    <w:rsid w:val="280D36FA"/>
    <w:rsid w:val="280F0AAA"/>
    <w:rsid w:val="28102206"/>
    <w:rsid w:val="28103C80"/>
    <w:rsid w:val="281224F2"/>
    <w:rsid w:val="28124698"/>
    <w:rsid w:val="28177609"/>
    <w:rsid w:val="28184A21"/>
    <w:rsid w:val="281D068A"/>
    <w:rsid w:val="282109E0"/>
    <w:rsid w:val="28243C67"/>
    <w:rsid w:val="2827448B"/>
    <w:rsid w:val="283755B5"/>
    <w:rsid w:val="2839208B"/>
    <w:rsid w:val="283B6D1D"/>
    <w:rsid w:val="283D7C81"/>
    <w:rsid w:val="283E1028"/>
    <w:rsid w:val="283E4956"/>
    <w:rsid w:val="283E6811"/>
    <w:rsid w:val="283F08B1"/>
    <w:rsid w:val="284E0B51"/>
    <w:rsid w:val="2852419D"/>
    <w:rsid w:val="285260F5"/>
    <w:rsid w:val="28556F1E"/>
    <w:rsid w:val="285830D0"/>
    <w:rsid w:val="28665E9B"/>
    <w:rsid w:val="286B70BF"/>
    <w:rsid w:val="28810F26"/>
    <w:rsid w:val="288B0CF2"/>
    <w:rsid w:val="288C4402"/>
    <w:rsid w:val="289162F0"/>
    <w:rsid w:val="28920A3E"/>
    <w:rsid w:val="2895443A"/>
    <w:rsid w:val="28980BB0"/>
    <w:rsid w:val="289E7A53"/>
    <w:rsid w:val="28A60692"/>
    <w:rsid w:val="28A96A72"/>
    <w:rsid w:val="28AA70F6"/>
    <w:rsid w:val="28B50658"/>
    <w:rsid w:val="28B56C76"/>
    <w:rsid w:val="28BB61E6"/>
    <w:rsid w:val="28BC0B34"/>
    <w:rsid w:val="28BE1833"/>
    <w:rsid w:val="28C231BE"/>
    <w:rsid w:val="28C76F7C"/>
    <w:rsid w:val="28D90406"/>
    <w:rsid w:val="28D9681F"/>
    <w:rsid w:val="28DD337D"/>
    <w:rsid w:val="28DE7E4A"/>
    <w:rsid w:val="28E51121"/>
    <w:rsid w:val="28E84B02"/>
    <w:rsid w:val="28EA59F7"/>
    <w:rsid w:val="28EB2151"/>
    <w:rsid w:val="28EB41F4"/>
    <w:rsid w:val="28EB664D"/>
    <w:rsid w:val="28F02DD6"/>
    <w:rsid w:val="28F252AF"/>
    <w:rsid w:val="28F744FC"/>
    <w:rsid w:val="28F85925"/>
    <w:rsid w:val="28F967F3"/>
    <w:rsid w:val="290404BD"/>
    <w:rsid w:val="290C4C94"/>
    <w:rsid w:val="290E2C74"/>
    <w:rsid w:val="290F1057"/>
    <w:rsid w:val="29150619"/>
    <w:rsid w:val="29163799"/>
    <w:rsid w:val="291A2598"/>
    <w:rsid w:val="291C7B48"/>
    <w:rsid w:val="291E3AD1"/>
    <w:rsid w:val="29207C26"/>
    <w:rsid w:val="29243E92"/>
    <w:rsid w:val="29262CE7"/>
    <w:rsid w:val="29315D47"/>
    <w:rsid w:val="29333DCE"/>
    <w:rsid w:val="29362CE0"/>
    <w:rsid w:val="293B2D11"/>
    <w:rsid w:val="293D2D43"/>
    <w:rsid w:val="294347DA"/>
    <w:rsid w:val="29437CB0"/>
    <w:rsid w:val="294B31F6"/>
    <w:rsid w:val="294B7209"/>
    <w:rsid w:val="29507DAE"/>
    <w:rsid w:val="2952729F"/>
    <w:rsid w:val="295755F5"/>
    <w:rsid w:val="29593740"/>
    <w:rsid w:val="295F6BE7"/>
    <w:rsid w:val="29683B8B"/>
    <w:rsid w:val="296B0792"/>
    <w:rsid w:val="297B78AE"/>
    <w:rsid w:val="29833717"/>
    <w:rsid w:val="298475A1"/>
    <w:rsid w:val="29922D93"/>
    <w:rsid w:val="29933C45"/>
    <w:rsid w:val="29A31010"/>
    <w:rsid w:val="29A53542"/>
    <w:rsid w:val="29A74460"/>
    <w:rsid w:val="29A878F0"/>
    <w:rsid w:val="29AA3257"/>
    <w:rsid w:val="29AA5AC0"/>
    <w:rsid w:val="29B13146"/>
    <w:rsid w:val="29B145F2"/>
    <w:rsid w:val="29B14E2E"/>
    <w:rsid w:val="29B14E33"/>
    <w:rsid w:val="29B36EBE"/>
    <w:rsid w:val="29B63146"/>
    <w:rsid w:val="29B63C8F"/>
    <w:rsid w:val="29B71632"/>
    <w:rsid w:val="29BA4310"/>
    <w:rsid w:val="29BC56FC"/>
    <w:rsid w:val="29C020BA"/>
    <w:rsid w:val="29C645DE"/>
    <w:rsid w:val="29C96425"/>
    <w:rsid w:val="29CC5549"/>
    <w:rsid w:val="29D6122A"/>
    <w:rsid w:val="29D71914"/>
    <w:rsid w:val="29DB0A24"/>
    <w:rsid w:val="29E02F19"/>
    <w:rsid w:val="29E7746D"/>
    <w:rsid w:val="29ED3096"/>
    <w:rsid w:val="29F51D87"/>
    <w:rsid w:val="29F76A1C"/>
    <w:rsid w:val="2A0616E3"/>
    <w:rsid w:val="2A085762"/>
    <w:rsid w:val="2A0B7B47"/>
    <w:rsid w:val="2A0C181F"/>
    <w:rsid w:val="2A0E67EA"/>
    <w:rsid w:val="2A1D25D9"/>
    <w:rsid w:val="2A1F080C"/>
    <w:rsid w:val="2A24003F"/>
    <w:rsid w:val="2A250CD8"/>
    <w:rsid w:val="2A3E027D"/>
    <w:rsid w:val="2A3E7534"/>
    <w:rsid w:val="2A432C81"/>
    <w:rsid w:val="2A4368BD"/>
    <w:rsid w:val="2A4A1A12"/>
    <w:rsid w:val="2A4E06CB"/>
    <w:rsid w:val="2A530FB4"/>
    <w:rsid w:val="2A532946"/>
    <w:rsid w:val="2A5849DF"/>
    <w:rsid w:val="2A5A1A2F"/>
    <w:rsid w:val="2A5B23B1"/>
    <w:rsid w:val="2A5F2BA2"/>
    <w:rsid w:val="2A5F7045"/>
    <w:rsid w:val="2A667586"/>
    <w:rsid w:val="2A674DC7"/>
    <w:rsid w:val="2A6860D6"/>
    <w:rsid w:val="2A6A49D5"/>
    <w:rsid w:val="2A6C4AD2"/>
    <w:rsid w:val="2A6C6592"/>
    <w:rsid w:val="2A6D06DD"/>
    <w:rsid w:val="2A70338C"/>
    <w:rsid w:val="2A722137"/>
    <w:rsid w:val="2A745315"/>
    <w:rsid w:val="2A7E19CA"/>
    <w:rsid w:val="2A84633B"/>
    <w:rsid w:val="2A877C9B"/>
    <w:rsid w:val="2A8C67E4"/>
    <w:rsid w:val="2A8F0AFF"/>
    <w:rsid w:val="2A952E60"/>
    <w:rsid w:val="2A98651F"/>
    <w:rsid w:val="2A9D068C"/>
    <w:rsid w:val="2AA02357"/>
    <w:rsid w:val="2AA1125F"/>
    <w:rsid w:val="2AA12158"/>
    <w:rsid w:val="2AA333D6"/>
    <w:rsid w:val="2AA55084"/>
    <w:rsid w:val="2AA5792E"/>
    <w:rsid w:val="2AAE38F0"/>
    <w:rsid w:val="2AC03815"/>
    <w:rsid w:val="2AC31382"/>
    <w:rsid w:val="2AC36D6A"/>
    <w:rsid w:val="2AC633CF"/>
    <w:rsid w:val="2AC70B2F"/>
    <w:rsid w:val="2ACA4074"/>
    <w:rsid w:val="2ACF3358"/>
    <w:rsid w:val="2AD95F87"/>
    <w:rsid w:val="2AE43B61"/>
    <w:rsid w:val="2AE45769"/>
    <w:rsid w:val="2AE55A63"/>
    <w:rsid w:val="2AE71510"/>
    <w:rsid w:val="2AEF03C9"/>
    <w:rsid w:val="2AF708B6"/>
    <w:rsid w:val="2AFA5B21"/>
    <w:rsid w:val="2AFF6015"/>
    <w:rsid w:val="2B087C79"/>
    <w:rsid w:val="2B0C6758"/>
    <w:rsid w:val="2B0D4CF3"/>
    <w:rsid w:val="2B110C48"/>
    <w:rsid w:val="2B125D50"/>
    <w:rsid w:val="2B146082"/>
    <w:rsid w:val="2B165956"/>
    <w:rsid w:val="2B1663BF"/>
    <w:rsid w:val="2B1C0861"/>
    <w:rsid w:val="2B1D66B0"/>
    <w:rsid w:val="2B205B4D"/>
    <w:rsid w:val="2B287437"/>
    <w:rsid w:val="2B323B68"/>
    <w:rsid w:val="2B3946D6"/>
    <w:rsid w:val="2B3B5431"/>
    <w:rsid w:val="2B4923DF"/>
    <w:rsid w:val="2B4C6D7F"/>
    <w:rsid w:val="2B4D5653"/>
    <w:rsid w:val="2B4E5C37"/>
    <w:rsid w:val="2B507F0E"/>
    <w:rsid w:val="2B5307EE"/>
    <w:rsid w:val="2B537ACC"/>
    <w:rsid w:val="2B560448"/>
    <w:rsid w:val="2B581B08"/>
    <w:rsid w:val="2B596D1D"/>
    <w:rsid w:val="2B6C37C8"/>
    <w:rsid w:val="2B7149AB"/>
    <w:rsid w:val="2B732DA8"/>
    <w:rsid w:val="2B7B364C"/>
    <w:rsid w:val="2B80318E"/>
    <w:rsid w:val="2B805C89"/>
    <w:rsid w:val="2B8561F4"/>
    <w:rsid w:val="2B876305"/>
    <w:rsid w:val="2B8B2CE8"/>
    <w:rsid w:val="2B8D0476"/>
    <w:rsid w:val="2B935B2F"/>
    <w:rsid w:val="2B952C10"/>
    <w:rsid w:val="2B9920E3"/>
    <w:rsid w:val="2B9A13FB"/>
    <w:rsid w:val="2B9C7FAD"/>
    <w:rsid w:val="2B9E49B0"/>
    <w:rsid w:val="2B9F38EC"/>
    <w:rsid w:val="2BA26719"/>
    <w:rsid w:val="2BAF0673"/>
    <w:rsid w:val="2BB36207"/>
    <w:rsid w:val="2BB430C8"/>
    <w:rsid w:val="2BB829E4"/>
    <w:rsid w:val="2BBA784B"/>
    <w:rsid w:val="2BBB43BC"/>
    <w:rsid w:val="2BC468B3"/>
    <w:rsid w:val="2BC92A16"/>
    <w:rsid w:val="2BCC054F"/>
    <w:rsid w:val="2BCE723E"/>
    <w:rsid w:val="2BD32268"/>
    <w:rsid w:val="2BE04B8B"/>
    <w:rsid w:val="2BE34C98"/>
    <w:rsid w:val="2BE501C5"/>
    <w:rsid w:val="2BE70734"/>
    <w:rsid w:val="2BEB10C1"/>
    <w:rsid w:val="2BF127E7"/>
    <w:rsid w:val="2BF864B4"/>
    <w:rsid w:val="2BFF257A"/>
    <w:rsid w:val="2C055601"/>
    <w:rsid w:val="2C0C36DF"/>
    <w:rsid w:val="2C0C584D"/>
    <w:rsid w:val="2C0D670E"/>
    <w:rsid w:val="2C1122BC"/>
    <w:rsid w:val="2C125CB8"/>
    <w:rsid w:val="2C1458BF"/>
    <w:rsid w:val="2C1A3F0E"/>
    <w:rsid w:val="2C1A6051"/>
    <w:rsid w:val="2C1B3A9D"/>
    <w:rsid w:val="2C1D3E09"/>
    <w:rsid w:val="2C20243E"/>
    <w:rsid w:val="2C2C6DD5"/>
    <w:rsid w:val="2C313881"/>
    <w:rsid w:val="2C3354DC"/>
    <w:rsid w:val="2C3C6C3C"/>
    <w:rsid w:val="2C3E1027"/>
    <w:rsid w:val="2C412F11"/>
    <w:rsid w:val="2C4209CD"/>
    <w:rsid w:val="2C4300E4"/>
    <w:rsid w:val="2C436B7D"/>
    <w:rsid w:val="2C4E372E"/>
    <w:rsid w:val="2C5500E6"/>
    <w:rsid w:val="2C56458A"/>
    <w:rsid w:val="2C575596"/>
    <w:rsid w:val="2C595610"/>
    <w:rsid w:val="2C5E6808"/>
    <w:rsid w:val="2C687DC1"/>
    <w:rsid w:val="2C6A74DE"/>
    <w:rsid w:val="2C6B1364"/>
    <w:rsid w:val="2C6C3C9B"/>
    <w:rsid w:val="2C736DD8"/>
    <w:rsid w:val="2C775C21"/>
    <w:rsid w:val="2C8114F5"/>
    <w:rsid w:val="2C8907F7"/>
    <w:rsid w:val="2C891981"/>
    <w:rsid w:val="2C892018"/>
    <w:rsid w:val="2C8F686D"/>
    <w:rsid w:val="2C940B63"/>
    <w:rsid w:val="2C9E588A"/>
    <w:rsid w:val="2CA174A1"/>
    <w:rsid w:val="2CA9202C"/>
    <w:rsid w:val="2CAD7E23"/>
    <w:rsid w:val="2CAE7557"/>
    <w:rsid w:val="2CAF2AA9"/>
    <w:rsid w:val="2CB60EAA"/>
    <w:rsid w:val="2CB67D3E"/>
    <w:rsid w:val="2CBE62A5"/>
    <w:rsid w:val="2CC808E5"/>
    <w:rsid w:val="2CCD473A"/>
    <w:rsid w:val="2CD10731"/>
    <w:rsid w:val="2CDB1629"/>
    <w:rsid w:val="2CDC6FBE"/>
    <w:rsid w:val="2CDF7FCA"/>
    <w:rsid w:val="2CE008F6"/>
    <w:rsid w:val="2CE33217"/>
    <w:rsid w:val="2CE4467A"/>
    <w:rsid w:val="2CE45BD0"/>
    <w:rsid w:val="2CE52E14"/>
    <w:rsid w:val="2CED3F64"/>
    <w:rsid w:val="2CF46084"/>
    <w:rsid w:val="2CF86B84"/>
    <w:rsid w:val="2CF9552F"/>
    <w:rsid w:val="2CFA539C"/>
    <w:rsid w:val="2CFC41A0"/>
    <w:rsid w:val="2D0839C4"/>
    <w:rsid w:val="2D0B2141"/>
    <w:rsid w:val="2D0E3293"/>
    <w:rsid w:val="2D1838C7"/>
    <w:rsid w:val="2D1938B0"/>
    <w:rsid w:val="2D1C0E99"/>
    <w:rsid w:val="2D1C12F3"/>
    <w:rsid w:val="2D1D0CDF"/>
    <w:rsid w:val="2D231388"/>
    <w:rsid w:val="2D235B01"/>
    <w:rsid w:val="2D282219"/>
    <w:rsid w:val="2D2C4A24"/>
    <w:rsid w:val="2D2C579C"/>
    <w:rsid w:val="2D2E57C6"/>
    <w:rsid w:val="2D3073A2"/>
    <w:rsid w:val="2D311C78"/>
    <w:rsid w:val="2D336A65"/>
    <w:rsid w:val="2D366352"/>
    <w:rsid w:val="2D412A32"/>
    <w:rsid w:val="2D452D44"/>
    <w:rsid w:val="2D4A4500"/>
    <w:rsid w:val="2D4D7913"/>
    <w:rsid w:val="2D6100A3"/>
    <w:rsid w:val="2D690B4D"/>
    <w:rsid w:val="2D692CC8"/>
    <w:rsid w:val="2D6A2CAA"/>
    <w:rsid w:val="2D6F469C"/>
    <w:rsid w:val="2D736E73"/>
    <w:rsid w:val="2D742309"/>
    <w:rsid w:val="2D76352D"/>
    <w:rsid w:val="2D776454"/>
    <w:rsid w:val="2D7965AB"/>
    <w:rsid w:val="2D796F17"/>
    <w:rsid w:val="2D821B45"/>
    <w:rsid w:val="2D8863C8"/>
    <w:rsid w:val="2D89164B"/>
    <w:rsid w:val="2D8A0FE3"/>
    <w:rsid w:val="2D8E4943"/>
    <w:rsid w:val="2D952274"/>
    <w:rsid w:val="2D984D48"/>
    <w:rsid w:val="2D9B546B"/>
    <w:rsid w:val="2D9B7BAD"/>
    <w:rsid w:val="2D9C58A2"/>
    <w:rsid w:val="2D9F365D"/>
    <w:rsid w:val="2DAA4F6E"/>
    <w:rsid w:val="2DAA7AD2"/>
    <w:rsid w:val="2DAE1103"/>
    <w:rsid w:val="2DB60A18"/>
    <w:rsid w:val="2DC31E6E"/>
    <w:rsid w:val="2DC41071"/>
    <w:rsid w:val="2DCC6269"/>
    <w:rsid w:val="2DD079E2"/>
    <w:rsid w:val="2DD22394"/>
    <w:rsid w:val="2DD6761F"/>
    <w:rsid w:val="2DD76241"/>
    <w:rsid w:val="2DD9122C"/>
    <w:rsid w:val="2DDB7221"/>
    <w:rsid w:val="2DDC2010"/>
    <w:rsid w:val="2DDC38EF"/>
    <w:rsid w:val="2DE40802"/>
    <w:rsid w:val="2DE44E0F"/>
    <w:rsid w:val="2DE6435A"/>
    <w:rsid w:val="2DE724EB"/>
    <w:rsid w:val="2DEA609B"/>
    <w:rsid w:val="2DEF73F3"/>
    <w:rsid w:val="2DF7496B"/>
    <w:rsid w:val="2DFA39B7"/>
    <w:rsid w:val="2DFB1339"/>
    <w:rsid w:val="2E0205A4"/>
    <w:rsid w:val="2E0704E8"/>
    <w:rsid w:val="2E135E5F"/>
    <w:rsid w:val="2E140C4E"/>
    <w:rsid w:val="2E155D53"/>
    <w:rsid w:val="2E181428"/>
    <w:rsid w:val="2E183E5F"/>
    <w:rsid w:val="2E220387"/>
    <w:rsid w:val="2E25137E"/>
    <w:rsid w:val="2E2B688F"/>
    <w:rsid w:val="2E2E15CB"/>
    <w:rsid w:val="2E392110"/>
    <w:rsid w:val="2E404AB4"/>
    <w:rsid w:val="2E444996"/>
    <w:rsid w:val="2E4914BF"/>
    <w:rsid w:val="2E4D55CF"/>
    <w:rsid w:val="2E514144"/>
    <w:rsid w:val="2E546F45"/>
    <w:rsid w:val="2E561398"/>
    <w:rsid w:val="2E5E4102"/>
    <w:rsid w:val="2E606895"/>
    <w:rsid w:val="2E611024"/>
    <w:rsid w:val="2E61338C"/>
    <w:rsid w:val="2E663517"/>
    <w:rsid w:val="2E7105A5"/>
    <w:rsid w:val="2E745816"/>
    <w:rsid w:val="2E75500B"/>
    <w:rsid w:val="2E7A2C43"/>
    <w:rsid w:val="2E872F6F"/>
    <w:rsid w:val="2E91630A"/>
    <w:rsid w:val="2E931588"/>
    <w:rsid w:val="2E943939"/>
    <w:rsid w:val="2E995221"/>
    <w:rsid w:val="2EA21DBD"/>
    <w:rsid w:val="2EA23D55"/>
    <w:rsid w:val="2EA92A1B"/>
    <w:rsid w:val="2EB21578"/>
    <w:rsid w:val="2EB638D6"/>
    <w:rsid w:val="2EB711FE"/>
    <w:rsid w:val="2EB73668"/>
    <w:rsid w:val="2EB9568B"/>
    <w:rsid w:val="2EBE52D0"/>
    <w:rsid w:val="2EBE7140"/>
    <w:rsid w:val="2EC01DDC"/>
    <w:rsid w:val="2EC050F2"/>
    <w:rsid w:val="2EC456C9"/>
    <w:rsid w:val="2EC664C9"/>
    <w:rsid w:val="2EC914B9"/>
    <w:rsid w:val="2ECD63A8"/>
    <w:rsid w:val="2ED123EA"/>
    <w:rsid w:val="2ED26D65"/>
    <w:rsid w:val="2ED47D4A"/>
    <w:rsid w:val="2ED72056"/>
    <w:rsid w:val="2ED73C4D"/>
    <w:rsid w:val="2EDF0AE5"/>
    <w:rsid w:val="2EE21907"/>
    <w:rsid w:val="2EE41E95"/>
    <w:rsid w:val="2EE93145"/>
    <w:rsid w:val="2EEA4C3C"/>
    <w:rsid w:val="2EEC7D8B"/>
    <w:rsid w:val="2EED4E53"/>
    <w:rsid w:val="2EED69CE"/>
    <w:rsid w:val="2EEE72B1"/>
    <w:rsid w:val="2EF02962"/>
    <w:rsid w:val="2EF1343E"/>
    <w:rsid w:val="2EF266DA"/>
    <w:rsid w:val="2EF87050"/>
    <w:rsid w:val="2EFF5664"/>
    <w:rsid w:val="2EFF6CF7"/>
    <w:rsid w:val="2F1C3F95"/>
    <w:rsid w:val="2F1E55E9"/>
    <w:rsid w:val="2F204DAB"/>
    <w:rsid w:val="2F205CD5"/>
    <w:rsid w:val="2F213FCB"/>
    <w:rsid w:val="2F275F0E"/>
    <w:rsid w:val="2F2A2367"/>
    <w:rsid w:val="2F2B462F"/>
    <w:rsid w:val="2F2F6F7B"/>
    <w:rsid w:val="2F32125B"/>
    <w:rsid w:val="2F321264"/>
    <w:rsid w:val="2F3C3FA3"/>
    <w:rsid w:val="2F3C5050"/>
    <w:rsid w:val="2F406F1E"/>
    <w:rsid w:val="2F410612"/>
    <w:rsid w:val="2F4B546D"/>
    <w:rsid w:val="2F602743"/>
    <w:rsid w:val="2F614EB7"/>
    <w:rsid w:val="2F620F21"/>
    <w:rsid w:val="2F6920CF"/>
    <w:rsid w:val="2F6D4B40"/>
    <w:rsid w:val="2F7E2399"/>
    <w:rsid w:val="2F7F5FD0"/>
    <w:rsid w:val="2F874096"/>
    <w:rsid w:val="2F8842E1"/>
    <w:rsid w:val="2F960D2A"/>
    <w:rsid w:val="2F9B2E00"/>
    <w:rsid w:val="2FA44CA9"/>
    <w:rsid w:val="2FA64207"/>
    <w:rsid w:val="2FBB4DD8"/>
    <w:rsid w:val="2FBF0A3C"/>
    <w:rsid w:val="2FC8079C"/>
    <w:rsid w:val="2FCC6F2B"/>
    <w:rsid w:val="2FD36702"/>
    <w:rsid w:val="2FDC23A7"/>
    <w:rsid w:val="2FDD17F0"/>
    <w:rsid w:val="2FE129A8"/>
    <w:rsid w:val="2FE204E6"/>
    <w:rsid w:val="2FE677CE"/>
    <w:rsid w:val="2FE96129"/>
    <w:rsid w:val="2FFA41EB"/>
    <w:rsid w:val="2FFB7211"/>
    <w:rsid w:val="2FFC683C"/>
    <w:rsid w:val="30006E8A"/>
    <w:rsid w:val="3003321F"/>
    <w:rsid w:val="30034763"/>
    <w:rsid w:val="300C42E6"/>
    <w:rsid w:val="300F62BD"/>
    <w:rsid w:val="3012590A"/>
    <w:rsid w:val="30135CF0"/>
    <w:rsid w:val="301811B7"/>
    <w:rsid w:val="30182F39"/>
    <w:rsid w:val="30191A45"/>
    <w:rsid w:val="301B430D"/>
    <w:rsid w:val="301C0DA5"/>
    <w:rsid w:val="301C55A4"/>
    <w:rsid w:val="30240D12"/>
    <w:rsid w:val="30261444"/>
    <w:rsid w:val="302C644F"/>
    <w:rsid w:val="302D5C29"/>
    <w:rsid w:val="30336FAA"/>
    <w:rsid w:val="3036256A"/>
    <w:rsid w:val="30445702"/>
    <w:rsid w:val="30470818"/>
    <w:rsid w:val="304801A1"/>
    <w:rsid w:val="3048172F"/>
    <w:rsid w:val="304844BA"/>
    <w:rsid w:val="304A1A24"/>
    <w:rsid w:val="30505FF4"/>
    <w:rsid w:val="30506D1D"/>
    <w:rsid w:val="305369F7"/>
    <w:rsid w:val="30553A9F"/>
    <w:rsid w:val="30590093"/>
    <w:rsid w:val="30624795"/>
    <w:rsid w:val="3064380C"/>
    <w:rsid w:val="306B60B0"/>
    <w:rsid w:val="306C7DC6"/>
    <w:rsid w:val="30727C15"/>
    <w:rsid w:val="30731155"/>
    <w:rsid w:val="30734CEA"/>
    <w:rsid w:val="30801AC4"/>
    <w:rsid w:val="308065E3"/>
    <w:rsid w:val="30807CEC"/>
    <w:rsid w:val="30821085"/>
    <w:rsid w:val="308A5126"/>
    <w:rsid w:val="3092789E"/>
    <w:rsid w:val="309D606B"/>
    <w:rsid w:val="30AD102D"/>
    <w:rsid w:val="30AF1622"/>
    <w:rsid w:val="30B03B6B"/>
    <w:rsid w:val="30B10EB3"/>
    <w:rsid w:val="30B6599C"/>
    <w:rsid w:val="30B66A38"/>
    <w:rsid w:val="30B91F29"/>
    <w:rsid w:val="30C37890"/>
    <w:rsid w:val="30CE5192"/>
    <w:rsid w:val="30D030C1"/>
    <w:rsid w:val="30D37339"/>
    <w:rsid w:val="30D83C5C"/>
    <w:rsid w:val="30DD75CF"/>
    <w:rsid w:val="30E66174"/>
    <w:rsid w:val="30E974A2"/>
    <w:rsid w:val="30E97669"/>
    <w:rsid w:val="30F1623F"/>
    <w:rsid w:val="30F20233"/>
    <w:rsid w:val="30FE79FA"/>
    <w:rsid w:val="31014425"/>
    <w:rsid w:val="31097D0B"/>
    <w:rsid w:val="31102E48"/>
    <w:rsid w:val="3111298B"/>
    <w:rsid w:val="311C4718"/>
    <w:rsid w:val="31257397"/>
    <w:rsid w:val="31286FEA"/>
    <w:rsid w:val="312B1A2F"/>
    <w:rsid w:val="312D0ECB"/>
    <w:rsid w:val="313B0A69"/>
    <w:rsid w:val="31420212"/>
    <w:rsid w:val="31426B1C"/>
    <w:rsid w:val="31432C89"/>
    <w:rsid w:val="314D675A"/>
    <w:rsid w:val="3154732D"/>
    <w:rsid w:val="3156236E"/>
    <w:rsid w:val="31586667"/>
    <w:rsid w:val="3159714C"/>
    <w:rsid w:val="315A2A34"/>
    <w:rsid w:val="316136A3"/>
    <w:rsid w:val="31642075"/>
    <w:rsid w:val="316E399D"/>
    <w:rsid w:val="31705C0E"/>
    <w:rsid w:val="31734077"/>
    <w:rsid w:val="31736E28"/>
    <w:rsid w:val="31816DD6"/>
    <w:rsid w:val="3185264B"/>
    <w:rsid w:val="31902DC9"/>
    <w:rsid w:val="3191594D"/>
    <w:rsid w:val="31930EC6"/>
    <w:rsid w:val="3195056F"/>
    <w:rsid w:val="319553BB"/>
    <w:rsid w:val="31957F31"/>
    <w:rsid w:val="319647FF"/>
    <w:rsid w:val="31970357"/>
    <w:rsid w:val="31973193"/>
    <w:rsid w:val="319D1934"/>
    <w:rsid w:val="31A95EBD"/>
    <w:rsid w:val="31AA663E"/>
    <w:rsid w:val="31AA6DF8"/>
    <w:rsid w:val="31AF2425"/>
    <w:rsid w:val="31B04941"/>
    <w:rsid w:val="31B20042"/>
    <w:rsid w:val="31B47C6E"/>
    <w:rsid w:val="31BE257F"/>
    <w:rsid w:val="31BE2685"/>
    <w:rsid w:val="31BF188C"/>
    <w:rsid w:val="31C17076"/>
    <w:rsid w:val="31C26CE1"/>
    <w:rsid w:val="31C96696"/>
    <w:rsid w:val="31CA573B"/>
    <w:rsid w:val="31CD0C3D"/>
    <w:rsid w:val="31CE0B94"/>
    <w:rsid w:val="31CF02B4"/>
    <w:rsid w:val="31CF635E"/>
    <w:rsid w:val="31D05313"/>
    <w:rsid w:val="31D1359D"/>
    <w:rsid w:val="31D16A7B"/>
    <w:rsid w:val="31D476D6"/>
    <w:rsid w:val="31D70406"/>
    <w:rsid w:val="31D76D39"/>
    <w:rsid w:val="31DB16A7"/>
    <w:rsid w:val="31DB3539"/>
    <w:rsid w:val="31DD5DC0"/>
    <w:rsid w:val="31E742F6"/>
    <w:rsid w:val="31EB3BE7"/>
    <w:rsid w:val="31F2133C"/>
    <w:rsid w:val="31F96770"/>
    <w:rsid w:val="31FB18E0"/>
    <w:rsid w:val="31FD01DC"/>
    <w:rsid w:val="31FE7D7D"/>
    <w:rsid w:val="32047D43"/>
    <w:rsid w:val="32073B14"/>
    <w:rsid w:val="320C60B6"/>
    <w:rsid w:val="320C7129"/>
    <w:rsid w:val="321732A2"/>
    <w:rsid w:val="32183178"/>
    <w:rsid w:val="321878BB"/>
    <w:rsid w:val="321B5F48"/>
    <w:rsid w:val="321E77E6"/>
    <w:rsid w:val="3222484D"/>
    <w:rsid w:val="32286428"/>
    <w:rsid w:val="322B275A"/>
    <w:rsid w:val="322B4AD8"/>
    <w:rsid w:val="322D17D7"/>
    <w:rsid w:val="32301B68"/>
    <w:rsid w:val="323E39E4"/>
    <w:rsid w:val="32452ECA"/>
    <w:rsid w:val="324D25BE"/>
    <w:rsid w:val="324F5BF1"/>
    <w:rsid w:val="32510CD1"/>
    <w:rsid w:val="3253157A"/>
    <w:rsid w:val="32603F22"/>
    <w:rsid w:val="32657219"/>
    <w:rsid w:val="32662688"/>
    <w:rsid w:val="3284231A"/>
    <w:rsid w:val="32880580"/>
    <w:rsid w:val="32887C88"/>
    <w:rsid w:val="32906792"/>
    <w:rsid w:val="329502BE"/>
    <w:rsid w:val="32951F02"/>
    <w:rsid w:val="3297660D"/>
    <w:rsid w:val="32A379BA"/>
    <w:rsid w:val="32A5023B"/>
    <w:rsid w:val="32A7052C"/>
    <w:rsid w:val="32AC13D7"/>
    <w:rsid w:val="32B048E2"/>
    <w:rsid w:val="32B77571"/>
    <w:rsid w:val="32C32099"/>
    <w:rsid w:val="32D223C9"/>
    <w:rsid w:val="32D60D66"/>
    <w:rsid w:val="32D973B5"/>
    <w:rsid w:val="32DC667B"/>
    <w:rsid w:val="32DD07D9"/>
    <w:rsid w:val="32DE7603"/>
    <w:rsid w:val="32E75E2A"/>
    <w:rsid w:val="32E928AA"/>
    <w:rsid w:val="32EA41DA"/>
    <w:rsid w:val="32F24FF0"/>
    <w:rsid w:val="32F32127"/>
    <w:rsid w:val="32F37D8E"/>
    <w:rsid w:val="32F908F6"/>
    <w:rsid w:val="32FA50E8"/>
    <w:rsid w:val="32FE06B3"/>
    <w:rsid w:val="330042E2"/>
    <w:rsid w:val="33006347"/>
    <w:rsid w:val="33046401"/>
    <w:rsid w:val="330E29E0"/>
    <w:rsid w:val="330E5990"/>
    <w:rsid w:val="33113BF2"/>
    <w:rsid w:val="33150AFC"/>
    <w:rsid w:val="33155FFE"/>
    <w:rsid w:val="33174A13"/>
    <w:rsid w:val="33194166"/>
    <w:rsid w:val="332E664B"/>
    <w:rsid w:val="332F2C8C"/>
    <w:rsid w:val="33306062"/>
    <w:rsid w:val="33312F87"/>
    <w:rsid w:val="333B5D15"/>
    <w:rsid w:val="33462137"/>
    <w:rsid w:val="33462B51"/>
    <w:rsid w:val="334644AB"/>
    <w:rsid w:val="335334BF"/>
    <w:rsid w:val="33562CEB"/>
    <w:rsid w:val="33582B0A"/>
    <w:rsid w:val="335C114A"/>
    <w:rsid w:val="33621166"/>
    <w:rsid w:val="3365586E"/>
    <w:rsid w:val="337061D7"/>
    <w:rsid w:val="337768E3"/>
    <w:rsid w:val="33843679"/>
    <w:rsid w:val="33856BDC"/>
    <w:rsid w:val="338B4A07"/>
    <w:rsid w:val="338C3808"/>
    <w:rsid w:val="339128AC"/>
    <w:rsid w:val="33922B82"/>
    <w:rsid w:val="33925F7D"/>
    <w:rsid w:val="33962F9C"/>
    <w:rsid w:val="339F5CDE"/>
    <w:rsid w:val="33AA3E6F"/>
    <w:rsid w:val="33AE03F9"/>
    <w:rsid w:val="33C27479"/>
    <w:rsid w:val="33C451AA"/>
    <w:rsid w:val="33C466B7"/>
    <w:rsid w:val="33CA6DB3"/>
    <w:rsid w:val="33D017C7"/>
    <w:rsid w:val="33D04B3B"/>
    <w:rsid w:val="33D10F10"/>
    <w:rsid w:val="33D221D7"/>
    <w:rsid w:val="33D377F4"/>
    <w:rsid w:val="33D53ED4"/>
    <w:rsid w:val="33DB5825"/>
    <w:rsid w:val="33E812C0"/>
    <w:rsid w:val="33EA047C"/>
    <w:rsid w:val="33EA0B05"/>
    <w:rsid w:val="33EA5BD2"/>
    <w:rsid w:val="33EE4EE8"/>
    <w:rsid w:val="33EE6925"/>
    <w:rsid w:val="33F47B20"/>
    <w:rsid w:val="33FC5905"/>
    <w:rsid w:val="33FF05DF"/>
    <w:rsid w:val="3409636E"/>
    <w:rsid w:val="340A0022"/>
    <w:rsid w:val="340C7CAD"/>
    <w:rsid w:val="340E5B17"/>
    <w:rsid w:val="34125129"/>
    <w:rsid w:val="34126824"/>
    <w:rsid w:val="341464F4"/>
    <w:rsid w:val="341C4194"/>
    <w:rsid w:val="34206042"/>
    <w:rsid w:val="34212516"/>
    <w:rsid w:val="342241EB"/>
    <w:rsid w:val="34264730"/>
    <w:rsid w:val="342E2F51"/>
    <w:rsid w:val="3430478C"/>
    <w:rsid w:val="34337579"/>
    <w:rsid w:val="34376F0C"/>
    <w:rsid w:val="34394463"/>
    <w:rsid w:val="343F1F84"/>
    <w:rsid w:val="344A6670"/>
    <w:rsid w:val="344B6DBC"/>
    <w:rsid w:val="344E08D5"/>
    <w:rsid w:val="344F3C87"/>
    <w:rsid w:val="3450274A"/>
    <w:rsid w:val="3459310A"/>
    <w:rsid w:val="345C10F5"/>
    <w:rsid w:val="345D6863"/>
    <w:rsid w:val="34617B33"/>
    <w:rsid w:val="34673940"/>
    <w:rsid w:val="346A35ED"/>
    <w:rsid w:val="346B63E3"/>
    <w:rsid w:val="346D061F"/>
    <w:rsid w:val="34713BFD"/>
    <w:rsid w:val="347B43FC"/>
    <w:rsid w:val="347C459C"/>
    <w:rsid w:val="347C6187"/>
    <w:rsid w:val="34806FC4"/>
    <w:rsid w:val="34815C12"/>
    <w:rsid w:val="34857917"/>
    <w:rsid w:val="348A1281"/>
    <w:rsid w:val="348A77BA"/>
    <w:rsid w:val="348C01D7"/>
    <w:rsid w:val="348E6C7C"/>
    <w:rsid w:val="34AD1C97"/>
    <w:rsid w:val="34B01E12"/>
    <w:rsid w:val="34B4602B"/>
    <w:rsid w:val="34D13F66"/>
    <w:rsid w:val="34DB600A"/>
    <w:rsid w:val="34DC232C"/>
    <w:rsid w:val="34E15A6B"/>
    <w:rsid w:val="34E33BCB"/>
    <w:rsid w:val="34E645EB"/>
    <w:rsid w:val="34EE3B5B"/>
    <w:rsid w:val="34EE5806"/>
    <w:rsid w:val="34EF56D5"/>
    <w:rsid w:val="34F92E4C"/>
    <w:rsid w:val="34FD3EBF"/>
    <w:rsid w:val="35004CDD"/>
    <w:rsid w:val="35084423"/>
    <w:rsid w:val="351763F7"/>
    <w:rsid w:val="351A7918"/>
    <w:rsid w:val="351F3659"/>
    <w:rsid w:val="352B6ADF"/>
    <w:rsid w:val="35344E5C"/>
    <w:rsid w:val="35396A52"/>
    <w:rsid w:val="353D5A67"/>
    <w:rsid w:val="353F6C80"/>
    <w:rsid w:val="354609F7"/>
    <w:rsid w:val="35484E2B"/>
    <w:rsid w:val="354D29A1"/>
    <w:rsid w:val="35535700"/>
    <w:rsid w:val="35570982"/>
    <w:rsid w:val="355D12A8"/>
    <w:rsid w:val="355E2FFD"/>
    <w:rsid w:val="35603461"/>
    <w:rsid w:val="3564360F"/>
    <w:rsid w:val="35693593"/>
    <w:rsid w:val="356B5453"/>
    <w:rsid w:val="356D1AC0"/>
    <w:rsid w:val="3571789F"/>
    <w:rsid w:val="357757E5"/>
    <w:rsid w:val="35860E25"/>
    <w:rsid w:val="358B07A7"/>
    <w:rsid w:val="358C4657"/>
    <w:rsid w:val="35903E93"/>
    <w:rsid w:val="35905B65"/>
    <w:rsid w:val="35935DF5"/>
    <w:rsid w:val="359F0CBE"/>
    <w:rsid w:val="35A14876"/>
    <w:rsid w:val="35A864AB"/>
    <w:rsid w:val="35AB1C78"/>
    <w:rsid w:val="35AE7EC4"/>
    <w:rsid w:val="35B04BF9"/>
    <w:rsid w:val="35B2115F"/>
    <w:rsid w:val="35B217E1"/>
    <w:rsid w:val="35B30245"/>
    <w:rsid w:val="35B7465A"/>
    <w:rsid w:val="35BC359E"/>
    <w:rsid w:val="35BD4994"/>
    <w:rsid w:val="35C241E7"/>
    <w:rsid w:val="35C459B8"/>
    <w:rsid w:val="35C53368"/>
    <w:rsid w:val="35C808E3"/>
    <w:rsid w:val="35CC3271"/>
    <w:rsid w:val="35CF7CD6"/>
    <w:rsid w:val="35D522EE"/>
    <w:rsid w:val="35D63E88"/>
    <w:rsid w:val="35D80987"/>
    <w:rsid w:val="35D86D18"/>
    <w:rsid w:val="35D94B0C"/>
    <w:rsid w:val="35DE6A1E"/>
    <w:rsid w:val="35E277AF"/>
    <w:rsid w:val="35E4395A"/>
    <w:rsid w:val="35E87EEF"/>
    <w:rsid w:val="35F32B46"/>
    <w:rsid w:val="35F356FE"/>
    <w:rsid w:val="35F56AB8"/>
    <w:rsid w:val="35F7430D"/>
    <w:rsid w:val="3602580A"/>
    <w:rsid w:val="36082637"/>
    <w:rsid w:val="360D0461"/>
    <w:rsid w:val="36107B5A"/>
    <w:rsid w:val="361D1CAB"/>
    <w:rsid w:val="361D4044"/>
    <w:rsid w:val="36290877"/>
    <w:rsid w:val="362F22DF"/>
    <w:rsid w:val="36326DDA"/>
    <w:rsid w:val="36341386"/>
    <w:rsid w:val="363F61AF"/>
    <w:rsid w:val="36413BC1"/>
    <w:rsid w:val="36423D2C"/>
    <w:rsid w:val="3645595D"/>
    <w:rsid w:val="36464CD5"/>
    <w:rsid w:val="364A7270"/>
    <w:rsid w:val="364D1364"/>
    <w:rsid w:val="364F5E8A"/>
    <w:rsid w:val="36525977"/>
    <w:rsid w:val="365332AF"/>
    <w:rsid w:val="36631C6B"/>
    <w:rsid w:val="36666905"/>
    <w:rsid w:val="36711B6F"/>
    <w:rsid w:val="36721987"/>
    <w:rsid w:val="36761025"/>
    <w:rsid w:val="36767BF1"/>
    <w:rsid w:val="367A77E2"/>
    <w:rsid w:val="367E2601"/>
    <w:rsid w:val="3680223A"/>
    <w:rsid w:val="368638E8"/>
    <w:rsid w:val="369304AE"/>
    <w:rsid w:val="36940DE0"/>
    <w:rsid w:val="36951465"/>
    <w:rsid w:val="36987B67"/>
    <w:rsid w:val="36A751CA"/>
    <w:rsid w:val="36A91B34"/>
    <w:rsid w:val="36AC0B3C"/>
    <w:rsid w:val="36AC2561"/>
    <w:rsid w:val="36AC4C4A"/>
    <w:rsid w:val="36B4551B"/>
    <w:rsid w:val="36B83D65"/>
    <w:rsid w:val="36BF3B8C"/>
    <w:rsid w:val="36C7597C"/>
    <w:rsid w:val="36C832EB"/>
    <w:rsid w:val="36C9290B"/>
    <w:rsid w:val="36D3294D"/>
    <w:rsid w:val="36DD326A"/>
    <w:rsid w:val="36DF0890"/>
    <w:rsid w:val="36DF5004"/>
    <w:rsid w:val="36E02326"/>
    <w:rsid w:val="36EC05BC"/>
    <w:rsid w:val="36F06C5A"/>
    <w:rsid w:val="36F22495"/>
    <w:rsid w:val="36F37C64"/>
    <w:rsid w:val="37012E54"/>
    <w:rsid w:val="37022148"/>
    <w:rsid w:val="37054AD1"/>
    <w:rsid w:val="370D6C32"/>
    <w:rsid w:val="370E4DFA"/>
    <w:rsid w:val="370E5675"/>
    <w:rsid w:val="370F0A21"/>
    <w:rsid w:val="371364B0"/>
    <w:rsid w:val="37140A81"/>
    <w:rsid w:val="371668E8"/>
    <w:rsid w:val="371C7DBA"/>
    <w:rsid w:val="37217B5C"/>
    <w:rsid w:val="3728302E"/>
    <w:rsid w:val="372C2026"/>
    <w:rsid w:val="372C3AB4"/>
    <w:rsid w:val="372E2279"/>
    <w:rsid w:val="372F21D7"/>
    <w:rsid w:val="37355E03"/>
    <w:rsid w:val="37362904"/>
    <w:rsid w:val="37371B5B"/>
    <w:rsid w:val="37384EA6"/>
    <w:rsid w:val="37392E13"/>
    <w:rsid w:val="373C26F2"/>
    <w:rsid w:val="373F41B8"/>
    <w:rsid w:val="374B2911"/>
    <w:rsid w:val="374B364D"/>
    <w:rsid w:val="374E1D8D"/>
    <w:rsid w:val="37586F5B"/>
    <w:rsid w:val="375A47CF"/>
    <w:rsid w:val="375A5EDC"/>
    <w:rsid w:val="375D6353"/>
    <w:rsid w:val="37605F92"/>
    <w:rsid w:val="37644A32"/>
    <w:rsid w:val="376B2953"/>
    <w:rsid w:val="376C53C3"/>
    <w:rsid w:val="377A101B"/>
    <w:rsid w:val="377B4FF6"/>
    <w:rsid w:val="377E0CF5"/>
    <w:rsid w:val="378237D6"/>
    <w:rsid w:val="37857357"/>
    <w:rsid w:val="378709D4"/>
    <w:rsid w:val="3787505C"/>
    <w:rsid w:val="378D3DA7"/>
    <w:rsid w:val="379724B4"/>
    <w:rsid w:val="37982535"/>
    <w:rsid w:val="37994AA2"/>
    <w:rsid w:val="379C44F9"/>
    <w:rsid w:val="379C5DCB"/>
    <w:rsid w:val="37A44F1C"/>
    <w:rsid w:val="37A516B4"/>
    <w:rsid w:val="37A66CFE"/>
    <w:rsid w:val="37AD0EBD"/>
    <w:rsid w:val="37B32333"/>
    <w:rsid w:val="37B352EB"/>
    <w:rsid w:val="37B409D1"/>
    <w:rsid w:val="37B9591B"/>
    <w:rsid w:val="37B95FE7"/>
    <w:rsid w:val="37BA45AF"/>
    <w:rsid w:val="37BA58BB"/>
    <w:rsid w:val="37C36E66"/>
    <w:rsid w:val="37C46049"/>
    <w:rsid w:val="37C62398"/>
    <w:rsid w:val="37C91FA2"/>
    <w:rsid w:val="37CA4E41"/>
    <w:rsid w:val="37CE1367"/>
    <w:rsid w:val="37CF02BB"/>
    <w:rsid w:val="37D25837"/>
    <w:rsid w:val="37D52336"/>
    <w:rsid w:val="37DC1CD5"/>
    <w:rsid w:val="37DC573E"/>
    <w:rsid w:val="37DD302D"/>
    <w:rsid w:val="37E66087"/>
    <w:rsid w:val="37E80E84"/>
    <w:rsid w:val="37EF1A09"/>
    <w:rsid w:val="37F30AFC"/>
    <w:rsid w:val="37F61AE2"/>
    <w:rsid w:val="37F7266B"/>
    <w:rsid w:val="37F72E51"/>
    <w:rsid w:val="37FA03AE"/>
    <w:rsid w:val="37FD0907"/>
    <w:rsid w:val="3802330C"/>
    <w:rsid w:val="380A4847"/>
    <w:rsid w:val="38200DE5"/>
    <w:rsid w:val="38237904"/>
    <w:rsid w:val="38241748"/>
    <w:rsid w:val="382516CF"/>
    <w:rsid w:val="382877F5"/>
    <w:rsid w:val="38295CD3"/>
    <w:rsid w:val="382A0828"/>
    <w:rsid w:val="383360DF"/>
    <w:rsid w:val="38344EF9"/>
    <w:rsid w:val="38374BC4"/>
    <w:rsid w:val="38391CE8"/>
    <w:rsid w:val="383945AB"/>
    <w:rsid w:val="383D5214"/>
    <w:rsid w:val="38406411"/>
    <w:rsid w:val="3844313F"/>
    <w:rsid w:val="384559A2"/>
    <w:rsid w:val="38466702"/>
    <w:rsid w:val="384C229E"/>
    <w:rsid w:val="384F419B"/>
    <w:rsid w:val="38555945"/>
    <w:rsid w:val="385B19F4"/>
    <w:rsid w:val="385E4FF6"/>
    <w:rsid w:val="385F54C7"/>
    <w:rsid w:val="38634AD1"/>
    <w:rsid w:val="386608C4"/>
    <w:rsid w:val="386D4559"/>
    <w:rsid w:val="387C3539"/>
    <w:rsid w:val="387E199F"/>
    <w:rsid w:val="38871B51"/>
    <w:rsid w:val="38895CFD"/>
    <w:rsid w:val="388D5635"/>
    <w:rsid w:val="38964230"/>
    <w:rsid w:val="389D0F08"/>
    <w:rsid w:val="38A14B41"/>
    <w:rsid w:val="38A934B9"/>
    <w:rsid w:val="38AC6D36"/>
    <w:rsid w:val="38B14F02"/>
    <w:rsid w:val="38B8709E"/>
    <w:rsid w:val="38C341F0"/>
    <w:rsid w:val="38C85ECB"/>
    <w:rsid w:val="38CA7D80"/>
    <w:rsid w:val="38D0251A"/>
    <w:rsid w:val="38D1110E"/>
    <w:rsid w:val="38D22E6F"/>
    <w:rsid w:val="38D25608"/>
    <w:rsid w:val="38DB6A4D"/>
    <w:rsid w:val="38DC1C8D"/>
    <w:rsid w:val="38DC7BBA"/>
    <w:rsid w:val="38E27DC0"/>
    <w:rsid w:val="38E40FCC"/>
    <w:rsid w:val="38E974BC"/>
    <w:rsid w:val="38EA2C2D"/>
    <w:rsid w:val="38ED478C"/>
    <w:rsid w:val="38EE2C85"/>
    <w:rsid w:val="38F22183"/>
    <w:rsid w:val="38F456B7"/>
    <w:rsid w:val="38F46E35"/>
    <w:rsid w:val="38FB0783"/>
    <w:rsid w:val="38FE732B"/>
    <w:rsid w:val="390433AC"/>
    <w:rsid w:val="390450FE"/>
    <w:rsid w:val="39050035"/>
    <w:rsid w:val="390546DB"/>
    <w:rsid w:val="3905700A"/>
    <w:rsid w:val="390A69A0"/>
    <w:rsid w:val="390C2CE5"/>
    <w:rsid w:val="390D7383"/>
    <w:rsid w:val="391052B5"/>
    <w:rsid w:val="39140076"/>
    <w:rsid w:val="392929A1"/>
    <w:rsid w:val="392A3BCE"/>
    <w:rsid w:val="392B13AF"/>
    <w:rsid w:val="39303AA4"/>
    <w:rsid w:val="39387D98"/>
    <w:rsid w:val="393912A3"/>
    <w:rsid w:val="39491472"/>
    <w:rsid w:val="394974EA"/>
    <w:rsid w:val="394B7ADA"/>
    <w:rsid w:val="394D06DF"/>
    <w:rsid w:val="395D5BD3"/>
    <w:rsid w:val="396206E0"/>
    <w:rsid w:val="396453D3"/>
    <w:rsid w:val="39677CC5"/>
    <w:rsid w:val="3972334E"/>
    <w:rsid w:val="39754190"/>
    <w:rsid w:val="397A574F"/>
    <w:rsid w:val="397B2EDF"/>
    <w:rsid w:val="397D3FDF"/>
    <w:rsid w:val="397D5ADC"/>
    <w:rsid w:val="397F6DBC"/>
    <w:rsid w:val="39821C05"/>
    <w:rsid w:val="398257EB"/>
    <w:rsid w:val="398715F2"/>
    <w:rsid w:val="39874797"/>
    <w:rsid w:val="398E0DAD"/>
    <w:rsid w:val="398E553F"/>
    <w:rsid w:val="39921D98"/>
    <w:rsid w:val="39924E26"/>
    <w:rsid w:val="3995038E"/>
    <w:rsid w:val="399748BF"/>
    <w:rsid w:val="39A126BE"/>
    <w:rsid w:val="39A13265"/>
    <w:rsid w:val="39AA1DEC"/>
    <w:rsid w:val="39AC7DD3"/>
    <w:rsid w:val="39B47117"/>
    <w:rsid w:val="39B6663B"/>
    <w:rsid w:val="39B94A77"/>
    <w:rsid w:val="39BC33F9"/>
    <w:rsid w:val="39C15FF0"/>
    <w:rsid w:val="39C737BA"/>
    <w:rsid w:val="39CA3D5C"/>
    <w:rsid w:val="39CA5318"/>
    <w:rsid w:val="39CC0410"/>
    <w:rsid w:val="39CF0180"/>
    <w:rsid w:val="39CF1D1A"/>
    <w:rsid w:val="39DC13A5"/>
    <w:rsid w:val="39DF46B2"/>
    <w:rsid w:val="39E0554A"/>
    <w:rsid w:val="39E635D9"/>
    <w:rsid w:val="39E80DE2"/>
    <w:rsid w:val="39E9636E"/>
    <w:rsid w:val="39EE3297"/>
    <w:rsid w:val="39F50E2C"/>
    <w:rsid w:val="39F850CE"/>
    <w:rsid w:val="3A024503"/>
    <w:rsid w:val="3A047072"/>
    <w:rsid w:val="3A047A93"/>
    <w:rsid w:val="3A0721DE"/>
    <w:rsid w:val="3A0E4260"/>
    <w:rsid w:val="3A0F7D4F"/>
    <w:rsid w:val="3A1736BC"/>
    <w:rsid w:val="3A1F40FB"/>
    <w:rsid w:val="3A2168C1"/>
    <w:rsid w:val="3A2A3160"/>
    <w:rsid w:val="3A2E5CE0"/>
    <w:rsid w:val="3A31461B"/>
    <w:rsid w:val="3A3C652D"/>
    <w:rsid w:val="3A3F5FBD"/>
    <w:rsid w:val="3A451F11"/>
    <w:rsid w:val="3A483652"/>
    <w:rsid w:val="3A491D8B"/>
    <w:rsid w:val="3A4F4A9A"/>
    <w:rsid w:val="3A534088"/>
    <w:rsid w:val="3A5351A4"/>
    <w:rsid w:val="3A541901"/>
    <w:rsid w:val="3A5448C8"/>
    <w:rsid w:val="3A593D21"/>
    <w:rsid w:val="3A63485C"/>
    <w:rsid w:val="3A65084E"/>
    <w:rsid w:val="3A655DF3"/>
    <w:rsid w:val="3A764198"/>
    <w:rsid w:val="3A7A792F"/>
    <w:rsid w:val="3A7B495B"/>
    <w:rsid w:val="3A7E0E22"/>
    <w:rsid w:val="3A807AA2"/>
    <w:rsid w:val="3A83177E"/>
    <w:rsid w:val="3A8328DC"/>
    <w:rsid w:val="3A832A0D"/>
    <w:rsid w:val="3A856B98"/>
    <w:rsid w:val="3A8913C4"/>
    <w:rsid w:val="3A8E5430"/>
    <w:rsid w:val="3A905204"/>
    <w:rsid w:val="3A937A96"/>
    <w:rsid w:val="3A9D454C"/>
    <w:rsid w:val="3AA007DD"/>
    <w:rsid w:val="3AA42268"/>
    <w:rsid w:val="3AA66EDE"/>
    <w:rsid w:val="3AA85D2A"/>
    <w:rsid w:val="3AAB7366"/>
    <w:rsid w:val="3AAE7D83"/>
    <w:rsid w:val="3AAF3ADA"/>
    <w:rsid w:val="3AB146EC"/>
    <w:rsid w:val="3AB4353A"/>
    <w:rsid w:val="3AB718C6"/>
    <w:rsid w:val="3AB7404B"/>
    <w:rsid w:val="3AB94550"/>
    <w:rsid w:val="3ABC77F4"/>
    <w:rsid w:val="3ABD042A"/>
    <w:rsid w:val="3ABD5411"/>
    <w:rsid w:val="3AC35623"/>
    <w:rsid w:val="3AC7559C"/>
    <w:rsid w:val="3ACC0609"/>
    <w:rsid w:val="3AD30352"/>
    <w:rsid w:val="3AD32E1C"/>
    <w:rsid w:val="3ADB1096"/>
    <w:rsid w:val="3AE05118"/>
    <w:rsid w:val="3AE42A23"/>
    <w:rsid w:val="3AE57DA4"/>
    <w:rsid w:val="3AE618D4"/>
    <w:rsid w:val="3AE75A77"/>
    <w:rsid w:val="3AE930E6"/>
    <w:rsid w:val="3AE93A68"/>
    <w:rsid w:val="3AEB7104"/>
    <w:rsid w:val="3AEF2DEA"/>
    <w:rsid w:val="3AEF3ACE"/>
    <w:rsid w:val="3AEF4709"/>
    <w:rsid w:val="3AF0591C"/>
    <w:rsid w:val="3AF561AE"/>
    <w:rsid w:val="3AFA7361"/>
    <w:rsid w:val="3AFD5346"/>
    <w:rsid w:val="3B01368C"/>
    <w:rsid w:val="3B043998"/>
    <w:rsid w:val="3B091033"/>
    <w:rsid w:val="3B0A74EE"/>
    <w:rsid w:val="3B165F04"/>
    <w:rsid w:val="3B181237"/>
    <w:rsid w:val="3B1C4B80"/>
    <w:rsid w:val="3B1F3CB1"/>
    <w:rsid w:val="3B203195"/>
    <w:rsid w:val="3B255A24"/>
    <w:rsid w:val="3B282890"/>
    <w:rsid w:val="3B2942F2"/>
    <w:rsid w:val="3B301DFF"/>
    <w:rsid w:val="3B33221F"/>
    <w:rsid w:val="3B3C42AE"/>
    <w:rsid w:val="3B3D27CB"/>
    <w:rsid w:val="3B456CF5"/>
    <w:rsid w:val="3B461CD8"/>
    <w:rsid w:val="3B4A24FE"/>
    <w:rsid w:val="3B564D43"/>
    <w:rsid w:val="3B5662EF"/>
    <w:rsid w:val="3B5A363D"/>
    <w:rsid w:val="3B637154"/>
    <w:rsid w:val="3B645544"/>
    <w:rsid w:val="3B661BBB"/>
    <w:rsid w:val="3B66288F"/>
    <w:rsid w:val="3B6E1929"/>
    <w:rsid w:val="3B724C87"/>
    <w:rsid w:val="3B7312C8"/>
    <w:rsid w:val="3B737A51"/>
    <w:rsid w:val="3B7D381A"/>
    <w:rsid w:val="3B861E0B"/>
    <w:rsid w:val="3B89094D"/>
    <w:rsid w:val="3B914A69"/>
    <w:rsid w:val="3B9304C4"/>
    <w:rsid w:val="3B94767E"/>
    <w:rsid w:val="3B9A0176"/>
    <w:rsid w:val="3B9A5117"/>
    <w:rsid w:val="3B9C3C56"/>
    <w:rsid w:val="3B9C5B8E"/>
    <w:rsid w:val="3BA20103"/>
    <w:rsid w:val="3BA511FF"/>
    <w:rsid w:val="3BA64C7B"/>
    <w:rsid w:val="3BA66AAC"/>
    <w:rsid w:val="3BAC0F56"/>
    <w:rsid w:val="3BAC158D"/>
    <w:rsid w:val="3BAE3193"/>
    <w:rsid w:val="3BB15F6E"/>
    <w:rsid w:val="3BB729E5"/>
    <w:rsid w:val="3BB83E2D"/>
    <w:rsid w:val="3BBD3299"/>
    <w:rsid w:val="3BBD5CB9"/>
    <w:rsid w:val="3BC4442F"/>
    <w:rsid w:val="3BC87204"/>
    <w:rsid w:val="3BCB2E5B"/>
    <w:rsid w:val="3BD364D3"/>
    <w:rsid w:val="3BD876BE"/>
    <w:rsid w:val="3BD91DA2"/>
    <w:rsid w:val="3BDA37EC"/>
    <w:rsid w:val="3BE261A1"/>
    <w:rsid w:val="3BE8313F"/>
    <w:rsid w:val="3BE92C15"/>
    <w:rsid w:val="3BE92C50"/>
    <w:rsid w:val="3BEB698B"/>
    <w:rsid w:val="3BF22C12"/>
    <w:rsid w:val="3BF34896"/>
    <w:rsid w:val="3C01242E"/>
    <w:rsid w:val="3C02518B"/>
    <w:rsid w:val="3C041359"/>
    <w:rsid w:val="3C074C70"/>
    <w:rsid w:val="3C090BBF"/>
    <w:rsid w:val="3C096154"/>
    <w:rsid w:val="3C0A1CD5"/>
    <w:rsid w:val="3C0C2E0D"/>
    <w:rsid w:val="3C0E5E86"/>
    <w:rsid w:val="3C0F0020"/>
    <w:rsid w:val="3C11082E"/>
    <w:rsid w:val="3C1A1806"/>
    <w:rsid w:val="3C1B3196"/>
    <w:rsid w:val="3C1E762A"/>
    <w:rsid w:val="3C264A05"/>
    <w:rsid w:val="3C2D079D"/>
    <w:rsid w:val="3C2E130E"/>
    <w:rsid w:val="3C3976F6"/>
    <w:rsid w:val="3C4A4B71"/>
    <w:rsid w:val="3C4C6198"/>
    <w:rsid w:val="3C547AB6"/>
    <w:rsid w:val="3C5A1CAA"/>
    <w:rsid w:val="3C5F506D"/>
    <w:rsid w:val="3C6022B1"/>
    <w:rsid w:val="3C6056D8"/>
    <w:rsid w:val="3C6A0B16"/>
    <w:rsid w:val="3C6A155C"/>
    <w:rsid w:val="3C6A6930"/>
    <w:rsid w:val="3C6E39AA"/>
    <w:rsid w:val="3C7377AC"/>
    <w:rsid w:val="3C7A492B"/>
    <w:rsid w:val="3C7A5497"/>
    <w:rsid w:val="3C852197"/>
    <w:rsid w:val="3C860462"/>
    <w:rsid w:val="3C8841DA"/>
    <w:rsid w:val="3C935031"/>
    <w:rsid w:val="3C9410D9"/>
    <w:rsid w:val="3C942600"/>
    <w:rsid w:val="3C976687"/>
    <w:rsid w:val="3C990195"/>
    <w:rsid w:val="3C9965D7"/>
    <w:rsid w:val="3CA14C75"/>
    <w:rsid w:val="3CA51E2F"/>
    <w:rsid w:val="3CA54648"/>
    <w:rsid w:val="3CB46D7D"/>
    <w:rsid w:val="3CBA40BB"/>
    <w:rsid w:val="3CC061E6"/>
    <w:rsid w:val="3CCB2DEC"/>
    <w:rsid w:val="3CCF7E7B"/>
    <w:rsid w:val="3CDA634B"/>
    <w:rsid w:val="3CDD54F8"/>
    <w:rsid w:val="3CDD6148"/>
    <w:rsid w:val="3CE96D5D"/>
    <w:rsid w:val="3CED6733"/>
    <w:rsid w:val="3CF368C0"/>
    <w:rsid w:val="3CF95AEC"/>
    <w:rsid w:val="3CFA7063"/>
    <w:rsid w:val="3D010212"/>
    <w:rsid w:val="3D024061"/>
    <w:rsid w:val="3D090415"/>
    <w:rsid w:val="3D095E3E"/>
    <w:rsid w:val="3D0C7B65"/>
    <w:rsid w:val="3D0D5C51"/>
    <w:rsid w:val="3D2234D9"/>
    <w:rsid w:val="3D2716D0"/>
    <w:rsid w:val="3D281C42"/>
    <w:rsid w:val="3D2C2B7F"/>
    <w:rsid w:val="3D373943"/>
    <w:rsid w:val="3D3801FF"/>
    <w:rsid w:val="3D3F2A76"/>
    <w:rsid w:val="3D49044C"/>
    <w:rsid w:val="3D4D2206"/>
    <w:rsid w:val="3D570610"/>
    <w:rsid w:val="3D572C48"/>
    <w:rsid w:val="3D575457"/>
    <w:rsid w:val="3D5C4C9F"/>
    <w:rsid w:val="3D6150B1"/>
    <w:rsid w:val="3D62087F"/>
    <w:rsid w:val="3D62291C"/>
    <w:rsid w:val="3D6357D2"/>
    <w:rsid w:val="3D663AD9"/>
    <w:rsid w:val="3D6703DA"/>
    <w:rsid w:val="3D6A0470"/>
    <w:rsid w:val="3D710689"/>
    <w:rsid w:val="3D7824A0"/>
    <w:rsid w:val="3D7D3B8B"/>
    <w:rsid w:val="3D8144CB"/>
    <w:rsid w:val="3D83026B"/>
    <w:rsid w:val="3D8307D5"/>
    <w:rsid w:val="3D85318C"/>
    <w:rsid w:val="3D8E3A72"/>
    <w:rsid w:val="3D8F1A69"/>
    <w:rsid w:val="3D93654B"/>
    <w:rsid w:val="3D951268"/>
    <w:rsid w:val="3D9A2417"/>
    <w:rsid w:val="3DA242EA"/>
    <w:rsid w:val="3DA25081"/>
    <w:rsid w:val="3DA44152"/>
    <w:rsid w:val="3DA800A4"/>
    <w:rsid w:val="3DB351CD"/>
    <w:rsid w:val="3DB97B46"/>
    <w:rsid w:val="3DBB1549"/>
    <w:rsid w:val="3DBE3D5B"/>
    <w:rsid w:val="3DBE4A6D"/>
    <w:rsid w:val="3DC30688"/>
    <w:rsid w:val="3DC510B3"/>
    <w:rsid w:val="3DC62A49"/>
    <w:rsid w:val="3DCC6AE7"/>
    <w:rsid w:val="3DCD56EC"/>
    <w:rsid w:val="3DCD5BE9"/>
    <w:rsid w:val="3DCE00AD"/>
    <w:rsid w:val="3DCE4A38"/>
    <w:rsid w:val="3DDE2232"/>
    <w:rsid w:val="3DE744D8"/>
    <w:rsid w:val="3DEB0628"/>
    <w:rsid w:val="3DF633C5"/>
    <w:rsid w:val="3DFB3C42"/>
    <w:rsid w:val="3DFB3D92"/>
    <w:rsid w:val="3DFC2459"/>
    <w:rsid w:val="3DFF5627"/>
    <w:rsid w:val="3E021D6A"/>
    <w:rsid w:val="3E0745D5"/>
    <w:rsid w:val="3E0760D8"/>
    <w:rsid w:val="3E0E7C82"/>
    <w:rsid w:val="3E16346A"/>
    <w:rsid w:val="3E187D3B"/>
    <w:rsid w:val="3E190927"/>
    <w:rsid w:val="3E1F1AE8"/>
    <w:rsid w:val="3E21356B"/>
    <w:rsid w:val="3E2327CA"/>
    <w:rsid w:val="3E2F75CB"/>
    <w:rsid w:val="3E392B33"/>
    <w:rsid w:val="3E3B664F"/>
    <w:rsid w:val="3E467EA9"/>
    <w:rsid w:val="3E487D6B"/>
    <w:rsid w:val="3E492123"/>
    <w:rsid w:val="3E4D465E"/>
    <w:rsid w:val="3E4F1453"/>
    <w:rsid w:val="3E530817"/>
    <w:rsid w:val="3E567BA6"/>
    <w:rsid w:val="3E5B0A56"/>
    <w:rsid w:val="3E5E10D7"/>
    <w:rsid w:val="3E5F19A0"/>
    <w:rsid w:val="3E604592"/>
    <w:rsid w:val="3E613AA0"/>
    <w:rsid w:val="3E671C45"/>
    <w:rsid w:val="3E683F05"/>
    <w:rsid w:val="3E6A688E"/>
    <w:rsid w:val="3E700503"/>
    <w:rsid w:val="3E706A52"/>
    <w:rsid w:val="3E727493"/>
    <w:rsid w:val="3E764A35"/>
    <w:rsid w:val="3E7B1F24"/>
    <w:rsid w:val="3E7C38CA"/>
    <w:rsid w:val="3E7E5D15"/>
    <w:rsid w:val="3E807390"/>
    <w:rsid w:val="3E81204A"/>
    <w:rsid w:val="3E823B0A"/>
    <w:rsid w:val="3E894B5A"/>
    <w:rsid w:val="3E911212"/>
    <w:rsid w:val="3E91122F"/>
    <w:rsid w:val="3E9230EE"/>
    <w:rsid w:val="3E926441"/>
    <w:rsid w:val="3E987E40"/>
    <w:rsid w:val="3E9930E3"/>
    <w:rsid w:val="3E9D20A7"/>
    <w:rsid w:val="3E9E0FF8"/>
    <w:rsid w:val="3EAA3F76"/>
    <w:rsid w:val="3EAB7823"/>
    <w:rsid w:val="3EB45F7B"/>
    <w:rsid w:val="3EB90691"/>
    <w:rsid w:val="3EC01CEB"/>
    <w:rsid w:val="3EC172F9"/>
    <w:rsid w:val="3EC2710B"/>
    <w:rsid w:val="3EC3599D"/>
    <w:rsid w:val="3ECA201F"/>
    <w:rsid w:val="3ECB779C"/>
    <w:rsid w:val="3ED93EF4"/>
    <w:rsid w:val="3EDA05FE"/>
    <w:rsid w:val="3EE04D24"/>
    <w:rsid w:val="3EE57C32"/>
    <w:rsid w:val="3EE6345C"/>
    <w:rsid w:val="3EE67704"/>
    <w:rsid w:val="3EE714EE"/>
    <w:rsid w:val="3EE7605D"/>
    <w:rsid w:val="3EEB0A50"/>
    <w:rsid w:val="3EFD4D59"/>
    <w:rsid w:val="3F0A1FFE"/>
    <w:rsid w:val="3F0B2ABD"/>
    <w:rsid w:val="3F0B33F6"/>
    <w:rsid w:val="3F116882"/>
    <w:rsid w:val="3F141D55"/>
    <w:rsid w:val="3F197155"/>
    <w:rsid w:val="3F1A6E09"/>
    <w:rsid w:val="3F2221ED"/>
    <w:rsid w:val="3F28344A"/>
    <w:rsid w:val="3F2A7D5C"/>
    <w:rsid w:val="3F2D0BA5"/>
    <w:rsid w:val="3F2D44F1"/>
    <w:rsid w:val="3F2E7112"/>
    <w:rsid w:val="3F2F3C6A"/>
    <w:rsid w:val="3F3437E1"/>
    <w:rsid w:val="3F38483E"/>
    <w:rsid w:val="3F400080"/>
    <w:rsid w:val="3F425BAD"/>
    <w:rsid w:val="3F434464"/>
    <w:rsid w:val="3F434C86"/>
    <w:rsid w:val="3F4631D4"/>
    <w:rsid w:val="3F4702F1"/>
    <w:rsid w:val="3F4B69CD"/>
    <w:rsid w:val="3F4F0FDF"/>
    <w:rsid w:val="3F50372B"/>
    <w:rsid w:val="3F5432E7"/>
    <w:rsid w:val="3F595EED"/>
    <w:rsid w:val="3F610607"/>
    <w:rsid w:val="3F6159A3"/>
    <w:rsid w:val="3F64598E"/>
    <w:rsid w:val="3F6B17D6"/>
    <w:rsid w:val="3F7078FC"/>
    <w:rsid w:val="3F795528"/>
    <w:rsid w:val="3F7D731D"/>
    <w:rsid w:val="3F8213B4"/>
    <w:rsid w:val="3F836C65"/>
    <w:rsid w:val="3F8520F9"/>
    <w:rsid w:val="3F8E43F5"/>
    <w:rsid w:val="3F912342"/>
    <w:rsid w:val="3F961A28"/>
    <w:rsid w:val="3F9A5471"/>
    <w:rsid w:val="3FA25902"/>
    <w:rsid w:val="3FAA2A56"/>
    <w:rsid w:val="3FAA5015"/>
    <w:rsid w:val="3FAF50FC"/>
    <w:rsid w:val="3FB01549"/>
    <w:rsid w:val="3FB438A4"/>
    <w:rsid w:val="3FB66D1A"/>
    <w:rsid w:val="3FB73636"/>
    <w:rsid w:val="3FB8669C"/>
    <w:rsid w:val="3FBB736A"/>
    <w:rsid w:val="3FBC530D"/>
    <w:rsid w:val="3FC30080"/>
    <w:rsid w:val="3FC73BEE"/>
    <w:rsid w:val="3FC8567F"/>
    <w:rsid w:val="3FD34735"/>
    <w:rsid w:val="3FD55692"/>
    <w:rsid w:val="3FD55F3B"/>
    <w:rsid w:val="3FE310E2"/>
    <w:rsid w:val="3FE368C9"/>
    <w:rsid w:val="3FE40DFA"/>
    <w:rsid w:val="3FE500D2"/>
    <w:rsid w:val="3FE56FE2"/>
    <w:rsid w:val="3FE730B2"/>
    <w:rsid w:val="3FF45914"/>
    <w:rsid w:val="3FF7227E"/>
    <w:rsid w:val="3FF84F2A"/>
    <w:rsid w:val="3FFB5537"/>
    <w:rsid w:val="400207C5"/>
    <w:rsid w:val="400B1B2C"/>
    <w:rsid w:val="400C3609"/>
    <w:rsid w:val="40112738"/>
    <w:rsid w:val="40114963"/>
    <w:rsid w:val="4013298B"/>
    <w:rsid w:val="4014616B"/>
    <w:rsid w:val="401530BA"/>
    <w:rsid w:val="401D3254"/>
    <w:rsid w:val="401E5A46"/>
    <w:rsid w:val="4022046F"/>
    <w:rsid w:val="40231F28"/>
    <w:rsid w:val="402578E6"/>
    <w:rsid w:val="402A1A56"/>
    <w:rsid w:val="40300643"/>
    <w:rsid w:val="40382EC1"/>
    <w:rsid w:val="40383B92"/>
    <w:rsid w:val="40397B19"/>
    <w:rsid w:val="40423A4D"/>
    <w:rsid w:val="40435C85"/>
    <w:rsid w:val="404A73F1"/>
    <w:rsid w:val="404B33F2"/>
    <w:rsid w:val="404C2A7C"/>
    <w:rsid w:val="404D170B"/>
    <w:rsid w:val="4051661C"/>
    <w:rsid w:val="40551D1D"/>
    <w:rsid w:val="40556D5E"/>
    <w:rsid w:val="405A0579"/>
    <w:rsid w:val="405B74A8"/>
    <w:rsid w:val="405C20AF"/>
    <w:rsid w:val="405E0FB4"/>
    <w:rsid w:val="405E7B7C"/>
    <w:rsid w:val="40644A2C"/>
    <w:rsid w:val="40711E43"/>
    <w:rsid w:val="40731118"/>
    <w:rsid w:val="40796351"/>
    <w:rsid w:val="407B0B2F"/>
    <w:rsid w:val="40832CC9"/>
    <w:rsid w:val="40833636"/>
    <w:rsid w:val="408430F1"/>
    <w:rsid w:val="4085379B"/>
    <w:rsid w:val="40914775"/>
    <w:rsid w:val="40963652"/>
    <w:rsid w:val="40A05660"/>
    <w:rsid w:val="40A14139"/>
    <w:rsid w:val="40A43FE1"/>
    <w:rsid w:val="40A46BC8"/>
    <w:rsid w:val="40AE7729"/>
    <w:rsid w:val="40B00A43"/>
    <w:rsid w:val="40B6264F"/>
    <w:rsid w:val="40B81EBC"/>
    <w:rsid w:val="40B87C33"/>
    <w:rsid w:val="40BA603F"/>
    <w:rsid w:val="40C46D9D"/>
    <w:rsid w:val="40C84ED5"/>
    <w:rsid w:val="40C87CB9"/>
    <w:rsid w:val="40D0362F"/>
    <w:rsid w:val="40D22EAE"/>
    <w:rsid w:val="40D23D80"/>
    <w:rsid w:val="40D52153"/>
    <w:rsid w:val="40DB5220"/>
    <w:rsid w:val="40EC67E4"/>
    <w:rsid w:val="40F1425E"/>
    <w:rsid w:val="40F32ECC"/>
    <w:rsid w:val="40F81284"/>
    <w:rsid w:val="40F84058"/>
    <w:rsid w:val="40FA5547"/>
    <w:rsid w:val="40FB4C06"/>
    <w:rsid w:val="40FD463E"/>
    <w:rsid w:val="40FD4A2E"/>
    <w:rsid w:val="410677EE"/>
    <w:rsid w:val="410E193F"/>
    <w:rsid w:val="41143FA1"/>
    <w:rsid w:val="41166258"/>
    <w:rsid w:val="41193FD5"/>
    <w:rsid w:val="412461DE"/>
    <w:rsid w:val="412859DD"/>
    <w:rsid w:val="412A10A1"/>
    <w:rsid w:val="412B4274"/>
    <w:rsid w:val="413026D6"/>
    <w:rsid w:val="413047F5"/>
    <w:rsid w:val="41304977"/>
    <w:rsid w:val="413062FC"/>
    <w:rsid w:val="41331ECC"/>
    <w:rsid w:val="413543CB"/>
    <w:rsid w:val="41382891"/>
    <w:rsid w:val="413C3A16"/>
    <w:rsid w:val="4143281B"/>
    <w:rsid w:val="414516E1"/>
    <w:rsid w:val="41453825"/>
    <w:rsid w:val="41456A6A"/>
    <w:rsid w:val="41475F13"/>
    <w:rsid w:val="414B7AEF"/>
    <w:rsid w:val="414F3B80"/>
    <w:rsid w:val="41502F7F"/>
    <w:rsid w:val="41534525"/>
    <w:rsid w:val="41540E54"/>
    <w:rsid w:val="41556816"/>
    <w:rsid w:val="415B3C6B"/>
    <w:rsid w:val="415B5DE9"/>
    <w:rsid w:val="415F7DC6"/>
    <w:rsid w:val="41662610"/>
    <w:rsid w:val="416C2E88"/>
    <w:rsid w:val="416E5CEA"/>
    <w:rsid w:val="41745FFB"/>
    <w:rsid w:val="417654A8"/>
    <w:rsid w:val="417A415B"/>
    <w:rsid w:val="417E3E54"/>
    <w:rsid w:val="418B7066"/>
    <w:rsid w:val="419A7BF3"/>
    <w:rsid w:val="419B16B4"/>
    <w:rsid w:val="41A129E8"/>
    <w:rsid w:val="41A74DB7"/>
    <w:rsid w:val="41A97A04"/>
    <w:rsid w:val="41AF13C9"/>
    <w:rsid w:val="41B63597"/>
    <w:rsid w:val="41B66BF8"/>
    <w:rsid w:val="41B75D4A"/>
    <w:rsid w:val="41B8121C"/>
    <w:rsid w:val="41BC7C2A"/>
    <w:rsid w:val="41BF1A8A"/>
    <w:rsid w:val="41C5442D"/>
    <w:rsid w:val="41C757A4"/>
    <w:rsid w:val="41CE3EE0"/>
    <w:rsid w:val="41CF195E"/>
    <w:rsid w:val="41D020E1"/>
    <w:rsid w:val="41D11CB1"/>
    <w:rsid w:val="41D27F2D"/>
    <w:rsid w:val="41D81760"/>
    <w:rsid w:val="41E05732"/>
    <w:rsid w:val="41E566C1"/>
    <w:rsid w:val="41E60EA8"/>
    <w:rsid w:val="41E71EBF"/>
    <w:rsid w:val="41E87B7C"/>
    <w:rsid w:val="41ED3F56"/>
    <w:rsid w:val="41ED6895"/>
    <w:rsid w:val="41EF4D04"/>
    <w:rsid w:val="41F6051A"/>
    <w:rsid w:val="41F86DCE"/>
    <w:rsid w:val="41FB753F"/>
    <w:rsid w:val="42043A40"/>
    <w:rsid w:val="42070B53"/>
    <w:rsid w:val="42075BA1"/>
    <w:rsid w:val="420E0DC9"/>
    <w:rsid w:val="42133BB6"/>
    <w:rsid w:val="42146A0D"/>
    <w:rsid w:val="421B164C"/>
    <w:rsid w:val="422057C5"/>
    <w:rsid w:val="422335BE"/>
    <w:rsid w:val="42266B31"/>
    <w:rsid w:val="42322F0E"/>
    <w:rsid w:val="42325A54"/>
    <w:rsid w:val="4234376D"/>
    <w:rsid w:val="423605F7"/>
    <w:rsid w:val="42386C43"/>
    <w:rsid w:val="4240043C"/>
    <w:rsid w:val="42405C85"/>
    <w:rsid w:val="42410BB7"/>
    <w:rsid w:val="42420CB4"/>
    <w:rsid w:val="42421550"/>
    <w:rsid w:val="4245343D"/>
    <w:rsid w:val="42475843"/>
    <w:rsid w:val="42492710"/>
    <w:rsid w:val="42505461"/>
    <w:rsid w:val="4258464E"/>
    <w:rsid w:val="425D0B5C"/>
    <w:rsid w:val="425F1B51"/>
    <w:rsid w:val="426666D2"/>
    <w:rsid w:val="4271227E"/>
    <w:rsid w:val="427344A0"/>
    <w:rsid w:val="42764AD5"/>
    <w:rsid w:val="42786640"/>
    <w:rsid w:val="427C1B58"/>
    <w:rsid w:val="42803FCB"/>
    <w:rsid w:val="42891B9F"/>
    <w:rsid w:val="428B734F"/>
    <w:rsid w:val="428C4C4B"/>
    <w:rsid w:val="428D77A3"/>
    <w:rsid w:val="42902FF2"/>
    <w:rsid w:val="42956179"/>
    <w:rsid w:val="429733C9"/>
    <w:rsid w:val="429848B1"/>
    <w:rsid w:val="42A8747B"/>
    <w:rsid w:val="42B1622C"/>
    <w:rsid w:val="42B60B65"/>
    <w:rsid w:val="42BC2FBE"/>
    <w:rsid w:val="42C121F4"/>
    <w:rsid w:val="42C64870"/>
    <w:rsid w:val="42C77F15"/>
    <w:rsid w:val="42CA41E9"/>
    <w:rsid w:val="42D96F33"/>
    <w:rsid w:val="42DB7339"/>
    <w:rsid w:val="42DC0DDB"/>
    <w:rsid w:val="42E0561E"/>
    <w:rsid w:val="42E77C6C"/>
    <w:rsid w:val="42EA76C7"/>
    <w:rsid w:val="42ED0BA3"/>
    <w:rsid w:val="42EE0AA9"/>
    <w:rsid w:val="42F91BCF"/>
    <w:rsid w:val="42FA537E"/>
    <w:rsid w:val="42FB02EF"/>
    <w:rsid w:val="43055F4E"/>
    <w:rsid w:val="43060662"/>
    <w:rsid w:val="430B5BFA"/>
    <w:rsid w:val="430E3032"/>
    <w:rsid w:val="431324E7"/>
    <w:rsid w:val="431E1211"/>
    <w:rsid w:val="431E59A0"/>
    <w:rsid w:val="431E641A"/>
    <w:rsid w:val="43224762"/>
    <w:rsid w:val="432816CF"/>
    <w:rsid w:val="43292738"/>
    <w:rsid w:val="4332215B"/>
    <w:rsid w:val="43382AB1"/>
    <w:rsid w:val="433B2C10"/>
    <w:rsid w:val="433C4AA9"/>
    <w:rsid w:val="433D529B"/>
    <w:rsid w:val="433F2244"/>
    <w:rsid w:val="434475DA"/>
    <w:rsid w:val="43456654"/>
    <w:rsid w:val="434D3200"/>
    <w:rsid w:val="435030B5"/>
    <w:rsid w:val="4353628D"/>
    <w:rsid w:val="43571F15"/>
    <w:rsid w:val="435D2978"/>
    <w:rsid w:val="43615785"/>
    <w:rsid w:val="43637999"/>
    <w:rsid w:val="436A2A25"/>
    <w:rsid w:val="436D1927"/>
    <w:rsid w:val="436E5591"/>
    <w:rsid w:val="43782377"/>
    <w:rsid w:val="437C60A8"/>
    <w:rsid w:val="437D1EAD"/>
    <w:rsid w:val="43800871"/>
    <w:rsid w:val="43811C6D"/>
    <w:rsid w:val="4385622C"/>
    <w:rsid w:val="438915F6"/>
    <w:rsid w:val="438A665B"/>
    <w:rsid w:val="438B000E"/>
    <w:rsid w:val="438C30D3"/>
    <w:rsid w:val="438D51A9"/>
    <w:rsid w:val="4390325F"/>
    <w:rsid w:val="43914254"/>
    <w:rsid w:val="43950E7B"/>
    <w:rsid w:val="439873F8"/>
    <w:rsid w:val="439D3EE9"/>
    <w:rsid w:val="43A362CD"/>
    <w:rsid w:val="43AA65DA"/>
    <w:rsid w:val="43AE07C3"/>
    <w:rsid w:val="43AE2B37"/>
    <w:rsid w:val="43BC56E6"/>
    <w:rsid w:val="43C401ED"/>
    <w:rsid w:val="43C73DF6"/>
    <w:rsid w:val="43CC0E50"/>
    <w:rsid w:val="43CE2B2B"/>
    <w:rsid w:val="43D47465"/>
    <w:rsid w:val="43D72AC4"/>
    <w:rsid w:val="43DD7B54"/>
    <w:rsid w:val="43E43635"/>
    <w:rsid w:val="43E535E1"/>
    <w:rsid w:val="43EB3BBD"/>
    <w:rsid w:val="43F72EE5"/>
    <w:rsid w:val="43F84FE8"/>
    <w:rsid w:val="43FE4EDE"/>
    <w:rsid w:val="43FF057C"/>
    <w:rsid w:val="440B28EC"/>
    <w:rsid w:val="440B3363"/>
    <w:rsid w:val="440F07B9"/>
    <w:rsid w:val="44111EF6"/>
    <w:rsid w:val="44114738"/>
    <w:rsid w:val="441C0066"/>
    <w:rsid w:val="441D607D"/>
    <w:rsid w:val="441E477A"/>
    <w:rsid w:val="441F5418"/>
    <w:rsid w:val="44227CCE"/>
    <w:rsid w:val="4424406E"/>
    <w:rsid w:val="442B3B5C"/>
    <w:rsid w:val="442C5E93"/>
    <w:rsid w:val="442D4B4A"/>
    <w:rsid w:val="442F4E85"/>
    <w:rsid w:val="44366C11"/>
    <w:rsid w:val="443A0F47"/>
    <w:rsid w:val="443A63DD"/>
    <w:rsid w:val="443D271D"/>
    <w:rsid w:val="44461857"/>
    <w:rsid w:val="444621E4"/>
    <w:rsid w:val="445070FC"/>
    <w:rsid w:val="44537C5B"/>
    <w:rsid w:val="44544745"/>
    <w:rsid w:val="445F6AF2"/>
    <w:rsid w:val="44686AC3"/>
    <w:rsid w:val="446C47E5"/>
    <w:rsid w:val="446E46FD"/>
    <w:rsid w:val="446E7034"/>
    <w:rsid w:val="44711D89"/>
    <w:rsid w:val="447312B4"/>
    <w:rsid w:val="44742107"/>
    <w:rsid w:val="44753296"/>
    <w:rsid w:val="44771EB1"/>
    <w:rsid w:val="448137D8"/>
    <w:rsid w:val="44837569"/>
    <w:rsid w:val="44846B1F"/>
    <w:rsid w:val="448E0C96"/>
    <w:rsid w:val="449066FE"/>
    <w:rsid w:val="44920B7D"/>
    <w:rsid w:val="449C324A"/>
    <w:rsid w:val="44A04EB8"/>
    <w:rsid w:val="44A70F44"/>
    <w:rsid w:val="44A9748D"/>
    <w:rsid w:val="44AE16B1"/>
    <w:rsid w:val="44B421A3"/>
    <w:rsid w:val="44BC1407"/>
    <w:rsid w:val="44C90F13"/>
    <w:rsid w:val="44CC5DE9"/>
    <w:rsid w:val="44CD07AC"/>
    <w:rsid w:val="44D10EE8"/>
    <w:rsid w:val="44D50D7A"/>
    <w:rsid w:val="44D5342B"/>
    <w:rsid w:val="44D8544F"/>
    <w:rsid w:val="44DE0568"/>
    <w:rsid w:val="44EB1FBA"/>
    <w:rsid w:val="44EE3048"/>
    <w:rsid w:val="44F26930"/>
    <w:rsid w:val="44F45800"/>
    <w:rsid w:val="44FE1B94"/>
    <w:rsid w:val="44FE7496"/>
    <w:rsid w:val="45112FAC"/>
    <w:rsid w:val="45134C87"/>
    <w:rsid w:val="45192C7F"/>
    <w:rsid w:val="451B5553"/>
    <w:rsid w:val="451D788E"/>
    <w:rsid w:val="45210233"/>
    <w:rsid w:val="45221C73"/>
    <w:rsid w:val="452D2988"/>
    <w:rsid w:val="452F10A3"/>
    <w:rsid w:val="4531536C"/>
    <w:rsid w:val="4533080F"/>
    <w:rsid w:val="453474A0"/>
    <w:rsid w:val="4537759C"/>
    <w:rsid w:val="453866CE"/>
    <w:rsid w:val="453A7EAD"/>
    <w:rsid w:val="453C3DC0"/>
    <w:rsid w:val="45421048"/>
    <w:rsid w:val="454A56D4"/>
    <w:rsid w:val="454D091B"/>
    <w:rsid w:val="454F3AE7"/>
    <w:rsid w:val="455237EF"/>
    <w:rsid w:val="45554585"/>
    <w:rsid w:val="45584BE1"/>
    <w:rsid w:val="455A1FA6"/>
    <w:rsid w:val="4562670E"/>
    <w:rsid w:val="45646A4E"/>
    <w:rsid w:val="456652D4"/>
    <w:rsid w:val="4567757A"/>
    <w:rsid w:val="456904FC"/>
    <w:rsid w:val="456B707C"/>
    <w:rsid w:val="4573416E"/>
    <w:rsid w:val="457445E8"/>
    <w:rsid w:val="45767B9C"/>
    <w:rsid w:val="4579279F"/>
    <w:rsid w:val="45823372"/>
    <w:rsid w:val="458A54B9"/>
    <w:rsid w:val="45947194"/>
    <w:rsid w:val="459534C4"/>
    <w:rsid w:val="45996F0A"/>
    <w:rsid w:val="459B120C"/>
    <w:rsid w:val="459F3801"/>
    <w:rsid w:val="45AA6F6F"/>
    <w:rsid w:val="45AB11C0"/>
    <w:rsid w:val="45AC0F39"/>
    <w:rsid w:val="45AC2C81"/>
    <w:rsid w:val="45AC5E94"/>
    <w:rsid w:val="45AE3D9A"/>
    <w:rsid w:val="45B07B67"/>
    <w:rsid w:val="45B22E60"/>
    <w:rsid w:val="45BA03A9"/>
    <w:rsid w:val="45BB5F9C"/>
    <w:rsid w:val="45BC1D65"/>
    <w:rsid w:val="45BC2EB2"/>
    <w:rsid w:val="45BF0D4C"/>
    <w:rsid w:val="45C003B7"/>
    <w:rsid w:val="45C22BB8"/>
    <w:rsid w:val="45C36FF4"/>
    <w:rsid w:val="45C875E6"/>
    <w:rsid w:val="45CA655C"/>
    <w:rsid w:val="45CE4200"/>
    <w:rsid w:val="45D17324"/>
    <w:rsid w:val="45D35BB2"/>
    <w:rsid w:val="45D56EC9"/>
    <w:rsid w:val="45DA1A4F"/>
    <w:rsid w:val="45E00EF1"/>
    <w:rsid w:val="45E111F7"/>
    <w:rsid w:val="45E216A1"/>
    <w:rsid w:val="45E47FF1"/>
    <w:rsid w:val="45E525DC"/>
    <w:rsid w:val="45E71E09"/>
    <w:rsid w:val="45EA3B8E"/>
    <w:rsid w:val="45F06927"/>
    <w:rsid w:val="45F94C35"/>
    <w:rsid w:val="45F97CEE"/>
    <w:rsid w:val="45FA27C7"/>
    <w:rsid w:val="46065565"/>
    <w:rsid w:val="4606725C"/>
    <w:rsid w:val="460879DB"/>
    <w:rsid w:val="460C086F"/>
    <w:rsid w:val="460C5BE2"/>
    <w:rsid w:val="460E0B1A"/>
    <w:rsid w:val="46141B5C"/>
    <w:rsid w:val="46162856"/>
    <w:rsid w:val="46190D78"/>
    <w:rsid w:val="461A4755"/>
    <w:rsid w:val="461B6A6E"/>
    <w:rsid w:val="461B748C"/>
    <w:rsid w:val="461F346C"/>
    <w:rsid w:val="462036CB"/>
    <w:rsid w:val="46217100"/>
    <w:rsid w:val="46241280"/>
    <w:rsid w:val="462B5C18"/>
    <w:rsid w:val="462C5BD6"/>
    <w:rsid w:val="462D194E"/>
    <w:rsid w:val="4630112E"/>
    <w:rsid w:val="4634086A"/>
    <w:rsid w:val="46345339"/>
    <w:rsid w:val="463630DA"/>
    <w:rsid w:val="463C4DFE"/>
    <w:rsid w:val="463F48F0"/>
    <w:rsid w:val="46456C98"/>
    <w:rsid w:val="46460E58"/>
    <w:rsid w:val="46491C08"/>
    <w:rsid w:val="464F10F5"/>
    <w:rsid w:val="46513E38"/>
    <w:rsid w:val="465719CC"/>
    <w:rsid w:val="465C435B"/>
    <w:rsid w:val="46625C8B"/>
    <w:rsid w:val="466B4AA1"/>
    <w:rsid w:val="466C103E"/>
    <w:rsid w:val="466C6C6C"/>
    <w:rsid w:val="46732A36"/>
    <w:rsid w:val="46752E2E"/>
    <w:rsid w:val="46763403"/>
    <w:rsid w:val="46775AB5"/>
    <w:rsid w:val="467B1C0B"/>
    <w:rsid w:val="46852DE9"/>
    <w:rsid w:val="468A6DA0"/>
    <w:rsid w:val="468B5D22"/>
    <w:rsid w:val="468C48C7"/>
    <w:rsid w:val="468F5856"/>
    <w:rsid w:val="4695589F"/>
    <w:rsid w:val="469D243F"/>
    <w:rsid w:val="46A575A2"/>
    <w:rsid w:val="46B37FFA"/>
    <w:rsid w:val="46B77136"/>
    <w:rsid w:val="46BC2AD7"/>
    <w:rsid w:val="46BD0598"/>
    <w:rsid w:val="46C2236F"/>
    <w:rsid w:val="46C95B1B"/>
    <w:rsid w:val="46CB53EF"/>
    <w:rsid w:val="46D22E10"/>
    <w:rsid w:val="46D74DAD"/>
    <w:rsid w:val="46DA1D79"/>
    <w:rsid w:val="46DE2CA8"/>
    <w:rsid w:val="46E11EC9"/>
    <w:rsid w:val="46E475F4"/>
    <w:rsid w:val="46ED61DB"/>
    <w:rsid w:val="46F61A0E"/>
    <w:rsid w:val="46F76805"/>
    <w:rsid w:val="46FC1A04"/>
    <w:rsid w:val="46FD46E1"/>
    <w:rsid w:val="47030048"/>
    <w:rsid w:val="47050F2D"/>
    <w:rsid w:val="47060B1D"/>
    <w:rsid w:val="470D5071"/>
    <w:rsid w:val="471452E8"/>
    <w:rsid w:val="4717489C"/>
    <w:rsid w:val="471E5E67"/>
    <w:rsid w:val="47244A6E"/>
    <w:rsid w:val="472B1E7A"/>
    <w:rsid w:val="472C3471"/>
    <w:rsid w:val="47322353"/>
    <w:rsid w:val="473765B5"/>
    <w:rsid w:val="473E56E1"/>
    <w:rsid w:val="473F1F44"/>
    <w:rsid w:val="474132FE"/>
    <w:rsid w:val="47455D4A"/>
    <w:rsid w:val="474E5794"/>
    <w:rsid w:val="47597A42"/>
    <w:rsid w:val="47617579"/>
    <w:rsid w:val="47663FED"/>
    <w:rsid w:val="476C1853"/>
    <w:rsid w:val="476C2789"/>
    <w:rsid w:val="477A69E6"/>
    <w:rsid w:val="477C573C"/>
    <w:rsid w:val="478076BA"/>
    <w:rsid w:val="47835507"/>
    <w:rsid w:val="478733AD"/>
    <w:rsid w:val="4787717A"/>
    <w:rsid w:val="47897514"/>
    <w:rsid w:val="478D1F38"/>
    <w:rsid w:val="4793176C"/>
    <w:rsid w:val="479B546B"/>
    <w:rsid w:val="47A937F7"/>
    <w:rsid w:val="47AA594C"/>
    <w:rsid w:val="47AA7699"/>
    <w:rsid w:val="47AE6527"/>
    <w:rsid w:val="47B46FB6"/>
    <w:rsid w:val="47B50E99"/>
    <w:rsid w:val="47BB7D4A"/>
    <w:rsid w:val="47BC2FFF"/>
    <w:rsid w:val="47C25E3B"/>
    <w:rsid w:val="47C277E7"/>
    <w:rsid w:val="47C30DDD"/>
    <w:rsid w:val="47C5500D"/>
    <w:rsid w:val="47D66741"/>
    <w:rsid w:val="47DA21B2"/>
    <w:rsid w:val="47DF370C"/>
    <w:rsid w:val="47E205AE"/>
    <w:rsid w:val="47ED0D98"/>
    <w:rsid w:val="47EF2035"/>
    <w:rsid w:val="480101A7"/>
    <w:rsid w:val="480254A8"/>
    <w:rsid w:val="480371AB"/>
    <w:rsid w:val="480E2483"/>
    <w:rsid w:val="481241F7"/>
    <w:rsid w:val="48145E54"/>
    <w:rsid w:val="4819662E"/>
    <w:rsid w:val="481B0446"/>
    <w:rsid w:val="48212587"/>
    <w:rsid w:val="482159BE"/>
    <w:rsid w:val="4826160E"/>
    <w:rsid w:val="482807A8"/>
    <w:rsid w:val="48287C9A"/>
    <w:rsid w:val="482918E0"/>
    <w:rsid w:val="482C3E12"/>
    <w:rsid w:val="482F0543"/>
    <w:rsid w:val="482F3899"/>
    <w:rsid w:val="4834676F"/>
    <w:rsid w:val="48396CD0"/>
    <w:rsid w:val="483E536E"/>
    <w:rsid w:val="484D624B"/>
    <w:rsid w:val="484F132A"/>
    <w:rsid w:val="48533F73"/>
    <w:rsid w:val="48587E77"/>
    <w:rsid w:val="485A5EED"/>
    <w:rsid w:val="485B4377"/>
    <w:rsid w:val="485C18F3"/>
    <w:rsid w:val="486348F6"/>
    <w:rsid w:val="48694CF5"/>
    <w:rsid w:val="486C01C4"/>
    <w:rsid w:val="486D3DB8"/>
    <w:rsid w:val="4874383E"/>
    <w:rsid w:val="48785BFB"/>
    <w:rsid w:val="487F667D"/>
    <w:rsid w:val="48813896"/>
    <w:rsid w:val="48823179"/>
    <w:rsid w:val="48891523"/>
    <w:rsid w:val="48895B99"/>
    <w:rsid w:val="488B0364"/>
    <w:rsid w:val="488E7EFC"/>
    <w:rsid w:val="48905038"/>
    <w:rsid w:val="489108BA"/>
    <w:rsid w:val="489652CC"/>
    <w:rsid w:val="48A04EFF"/>
    <w:rsid w:val="48A40C64"/>
    <w:rsid w:val="48AC318F"/>
    <w:rsid w:val="48B36E6A"/>
    <w:rsid w:val="48B97809"/>
    <w:rsid w:val="48BD60B7"/>
    <w:rsid w:val="48BF3794"/>
    <w:rsid w:val="48C1337B"/>
    <w:rsid w:val="48C26516"/>
    <w:rsid w:val="48C67456"/>
    <w:rsid w:val="48C76CD4"/>
    <w:rsid w:val="48D11A32"/>
    <w:rsid w:val="48D505C2"/>
    <w:rsid w:val="48D62A04"/>
    <w:rsid w:val="48DD45F8"/>
    <w:rsid w:val="48DF33D4"/>
    <w:rsid w:val="48E22EC4"/>
    <w:rsid w:val="48E41E98"/>
    <w:rsid w:val="48E56889"/>
    <w:rsid w:val="48E82637"/>
    <w:rsid w:val="48EA5D02"/>
    <w:rsid w:val="48ED6975"/>
    <w:rsid w:val="48EE0461"/>
    <w:rsid w:val="48F331AB"/>
    <w:rsid w:val="48FA0ACA"/>
    <w:rsid w:val="48FB0179"/>
    <w:rsid w:val="48FB3734"/>
    <w:rsid w:val="490E607B"/>
    <w:rsid w:val="49164561"/>
    <w:rsid w:val="491A422D"/>
    <w:rsid w:val="491A4BE8"/>
    <w:rsid w:val="491B2A8A"/>
    <w:rsid w:val="491B2E08"/>
    <w:rsid w:val="49202B8A"/>
    <w:rsid w:val="4920779A"/>
    <w:rsid w:val="492258D3"/>
    <w:rsid w:val="492E6427"/>
    <w:rsid w:val="492F2DEA"/>
    <w:rsid w:val="49310A7D"/>
    <w:rsid w:val="493255B1"/>
    <w:rsid w:val="49420292"/>
    <w:rsid w:val="494266C7"/>
    <w:rsid w:val="49445602"/>
    <w:rsid w:val="49452AFC"/>
    <w:rsid w:val="494A5CFB"/>
    <w:rsid w:val="49507E2D"/>
    <w:rsid w:val="495867AC"/>
    <w:rsid w:val="495A2DD6"/>
    <w:rsid w:val="495C460C"/>
    <w:rsid w:val="495D2422"/>
    <w:rsid w:val="496161FB"/>
    <w:rsid w:val="49673353"/>
    <w:rsid w:val="49765DB2"/>
    <w:rsid w:val="4977197B"/>
    <w:rsid w:val="497A0BD2"/>
    <w:rsid w:val="497D2B44"/>
    <w:rsid w:val="498077A1"/>
    <w:rsid w:val="49814F8E"/>
    <w:rsid w:val="49854EB4"/>
    <w:rsid w:val="498F57D7"/>
    <w:rsid w:val="4993337F"/>
    <w:rsid w:val="4996599C"/>
    <w:rsid w:val="49966D27"/>
    <w:rsid w:val="499763C4"/>
    <w:rsid w:val="499D589A"/>
    <w:rsid w:val="499F02F2"/>
    <w:rsid w:val="49A60050"/>
    <w:rsid w:val="49A95C56"/>
    <w:rsid w:val="49AE0717"/>
    <w:rsid w:val="49BD6685"/>
    <w:rsid w:val="49C66761"/>
    <w:rsid w:val="49C97D96"/>
    <w:rsid w:val="49CA64CE"/>
    <w:rsid w:val="49CB7DAA"/>
    <w:rsid w:val="49CE4C94"/>
    <w:rsid w:val="49DA3072"/>
    <w:rsid w:val="49E03A78"/>
    <w:rsid w:val="49E174B0"/>
    <w:rsid w:val="49E51E54"/>
    <w:rsid w:val="49E8227C"/>
    <w:rsid w:val="49E97897"/>
    <w:rsid w:val="49EC6CBD"/>
    <w:rsid w:val="49F55F6D"/>
    <w:rsid w:val="49FA2908"/>
    <w:rsid w:val="4A054585"/>
    <w:rsid w:val="4A063CEB"/>
    <w:rsid w:val="4A07607B"/>
    <w:rsid w:val="4A0B1780"/>
    <w:rsid w:val="4A0B2EA5"/>
    <w:rsid w:val="4A1313E6"/>
    <w:rsid w:val="4A15193A"/>
    <w:rsid w:val="4A1D5FA1"/>
    <w:rsid w:val="4A1F187C"/>
    <w:rsid w:val="4A2A5A2A"/>
    <w:rsid w:val="4A2B43F6"/>
    <w:rsid w:val="4A2D12EF"/>
    <w:rsid w:val="4A2E4AF4"/>
    <w:rsid w:val="4A32070D"/>
    <w:rsid w:val="4A322127"/>
    <w:rsid w:val="4A324E29"/>
    <w:rsid w:val="4A3701ED"/>
    <w:rsid w:val="4A3D1863"/>
    <w:rsid w:val="4A3D4856"/>
    <w:rsid w:val="4A447617"/>
    <w:rsid w:val="4A480FF9"/>
    <w:rsid w:val="4A496815"/>
    <w:rsid w:val="4A496CB8"/>
    <w:rsid w:val="4A4C5E84"/>
    <w:rsid w:val="4A4D00F1"/>
    <w:rsid w:val="4A4F425E"/>
    <w:rsid w:val="4A527C00"/>
    <w:rsid w:val="4A54411B"/>
    <w:rsid w:val="4A556A39"/>
    <w:rsid w:val="4A557A3E"/>
    <w:rsid w:val="4A5D4340"/>
    <w:rsid w:val="4A625DD7"/>
    <w:rsid w:val="4A635F73"/>
    <w:rsid w:val="4A6A4E7B"/>
    <w:rsid w:val="4A6C513B"/>
    <w:rsid w:val="4A6F0697"/>
    <w:rsid w:val="4A770268"/>
    <w:rsid w:val="4A7A38EE"/>
    <w:rsid w:val="4A7B5BF9"/>
    <w:rsid w:val="4A7E748A"/>
    <w:rsid w:val="4A801592"/>
    <w:rsid w:val="4A8120F3"/>
    <w:rsid w:val="4A8137EB"/>
    <w:rsid w:val="4A886D9B"/>
    <w:rsid w:val="4A8C6560"/>
    <w:rsid w:val="4A951E7C"/>
    <w:rsid w:val="4A9621B8"/>
    <w:rsid w:val="4A9C5E1D"/>
    <w:rsid w:val="4AA14AE4"/>
    <w:rsid w:val="4AA150B7"/>
    <w:rsid w:val="4AA74CCF"/>
    <w:rsid w:val="4AA8607A"/>
    <w:rsid w:val="4AB32D6A"/>
    <w:rsid w:val="4AB50C43"/>
    <w:rsid w:val="4ABC0608"/>
    <w:rsid w:val="4AC17791"/>
    <w:rsid w:val="4AD10789"/>
    <w:rsid w:val="4AD64922"/>
    <w:rsid w:val="4AE23044"/>
    <w:rsid w:val="4AE4222F"/>
    <w:rsid w:val="4AEC0561"/>
    <w:rsid w:val="4AF03E91"/>
    <w:rsid w:val="4AF2748C"/>
    <w:rsid w:val="4AF3255D"/>
    <w:rsid w:val="4AF36409"/>
    <w:rsid w:val="4AF42807"/>
    <w:rsid w:val="4AF55475"/>
    <w:rsid w:val="4AF6389F"/>
    <w:rsid w:val="4AFA44F5"/>
    <w:rsid w:val="4AFB026D"/>
    <w:rsid w:val="4B044F43"/>
    <w:rsid w:val="4B045FDF"/>
    <w:rsid w:val="4B053D3C"/>
    <w:rsid w:val="4B0B09B1"/>
    <w:rsid w:val="4B0F45A4"/>
    <w:rsid w:val="4B1E4A10"/>
    <w:rsid w:val="4B241392"/>
    <w:rsid w:val="4B29302C"/>
    <w:rsid w:val="4B294DDA"/>
    <w:rsid w:val="4B320BBA"/>
    <w:rsid w:val="4B32444F"/>
    <w:rsid w:val="4B347587"/>
    <w:rsid w:val="4B361AF8"/>
    <w:rsid w:val="4B37440C"/>
    <w:rsid w:val="4B3A6FE7"/>
    <w:rsid w:val="4B4339A2"/>
    <w:rsid w:val="4B453108"/>
    <w:rsid w:val="4B505E95"/>
    <w:rsid w:val="4B520D61"/>
    <w:rsid w:val="4B59610D"/>
    <w:rsid w:val="4B5A09F3"/>
    <w:rsid w:val="4B5A3626"/>
    <w:rsid w:val="4B5F631D"/>
    <w:rsid w:val="4B5F6A4E"/>
    <w:rsid w:val="4B624E78"/>
    <w:rsid w:val="4B691D03"/>
    <w:rsid w:val="4B6C2591"/>
    <w:rsid w:val="4B7A495A"/>
    <w:rsid w:val="4B7B5BFD"/>
    <w:rsid w:val="4B7C1248"/>
    <w:rsid w:val="4B824105"/>
    <w:rsid w:val="4B8E045E"/>
    <w:rsid w:val="4B90095F"/>
    <w:rsid w:val="4B910957"/>
    <w:rsid w:val="4B916F1D"/>
    <w:rsid w:val="4B980505"/>
    <w:rsid w:val="4B997114"/>
    <w:rsid w:val="4BA633F3"/>
    <w:rsid w:val="4BA6680B"/>
    <w:rsid w:val="4BA73540"/>
    <w:rsid w:val="4BA91D3C"/>
    <w:rsid w:val="4BA92B80"/>
    <w:rsid w:val="4BAB02CC"/>
    <w:rsid w:val="4BB57D55"/>
    <w:rsid w:val="4BBB220E"/>
    <w:rsid w:val="4BBB4DA2"/>
    <w:rsid w:val="4BBF7CC6"/>
    <w:rsid w:val="4BC0573E"/>
    <w:rsid w:val="4BC65873"/>
    <w:rsid w:val="4BCC540B"/>
    <w:rsid w:val="4BCD7371"/>
    <w:rsid w:val="4BCE695A"/>
    <w:rsid w:val="4BD0291E"/>
    <w:rsid w:val="4BD070A1"/>
    <w:rsid w:val="4BD44CA7"/>
    <w:rsid w:val="4BE530F4"/>
    <w:rsid w:val="4BE60F1D"/>
    <w:rsid w:val="4BEC7A53"/>
    <w:rsid w:val="4BEF3420"/>
    <w:rsid w:val="4BF20001"/>
    <w:rsid w:val="4BF37070"/>
    <w:rsid w:val="4BF4363A"/>
    <w:rsid w:val="4C006E70"/>
    <w:rsid w:val="4C023FA7"/>
    <w:rsid w:val="4C0A54B5"/>
    <w:rsid w:val="4C0C3CDE"/>
    <w:rsid w:val="4C0F5735"/>
    <w:rsid w:val="4C1120E8"/>
    <w:rsid w:val="4C124461"/>
    <w:rsid w:val="4C143CCE"/>
    <w:rsid w:val="4C1A2FBB"/>
    <w:rsid w:val="4C1A37C8"/>
    <w:rsid w:val="4C1A6730"/>
    <w:rsid w:val="4C1B3BB0"/>
    <w:rsid w:val="4C1C207B"/>
    <w:rsid w:val="4C1F6C62"/>
    <w:rsid w:val="4C237A7B"/>
    <w:rsid w:val="4C2544EF"/>
    <w:rsid w:val="4C2548E4"/>
    <w:rsid w:val="4C273898"/>
    <w:rsid w:val="4C282D94"/>
    <w:rsid w:val="4C296748"/>
    <w:rsid w:val="4C30175D"/>
    <w:rsid w:val="4C3163FA"/>
    <w:rsid w:val="4C320787"/>
    <w:rsid w:val="4C3261CC"/>
    <w:rsid w:val="4C327A9B"/>
    <w:rsid w:val="4C335CD8"/>
    <w:rsid w:val="4C3E3864"/>
    <w:rsid w:val="4C437AFE"/>
    <w:rsid w:val="4C483653"/>
    <w:rsid w:val="4C4941E3"/>
    <w:rsid w:val="4C582866"/>
    <w:rsid w:val="4C5C0D37"/>
    <w:rsid w:val="4C5C2798"/>
    <w:rsid w:val="4C621261"/>
    <w:rsid w:val="4C62268A"/>
    <w:rsid w:val="4C6562E6"/>
    <w:rsid w:val="4C6C2BBB"/>
    <w:rsid w:val="4C6D70A5"/>
    <w:rsid w:val="4C6F228A"/>
    <w:rsid w:val="4C727FFD"/>
    <w:rsid w:val="4C7F6AB7"/>
    <w:rsid w:val="4C85349E"/>
    <w:rsid w:val="4C907575"/>
    <w:rsid w:val="4C9314AD"/>
    <w:rsid w:val="4C981676"/>
    <w:rsid w:val="4C9C4528"/>
    <w:rsid w:val="4C9D782D"/>
    <w:rsid w:val="4CA213A5"/>
    <w:rsid w:val="4CA25915"/>
    <w:rsid w:val="4CA50A51"/>
    <w:rsid w:val="4CB26F4A"/>
    <w:rsid w:val="4CB55DF1"/>
    <w:rsid w:val="4CB619E6"/>
    <w:rsid w:val="4CB76DB1"/>
    <w:rsid w:val="4CB8199F"/>
    <w:rsid w:val="4CBB7FA9"/>
    <w:rsid w:val="4CBC2364"/>
    <w:rsid w:val="4CC4268F"/>
    <w:rsid w:val="4CC6263F"/>
    <w:rsid w:val="4CC9292D"/>
    <w:rsid w:val="4CD34CB5"/>
    <w:rsid w:val="4CE84150"/>
    <w:rsid w:val="4CE86826"/>
    <w:rsid w:val="4CED43CE"/>
    <w:rsid w:val="4CEE07B2"/>
    <w:rsid w:val="4CEF795D"/>
    <w:rsid w:val="4CF46F1C"/>
    <w:rsid w:val="4CFB7C57"/>
    <w:rsid w:val="4CFE5DF2"/>
    <w:rsid w:val="4D0530C1"/>
    <w:rsid w:val="4D1448B5"/>
    <w:rsid w:val="4D1742F4"/>
    <w:rsid w:val="4D1A1F7E"/>
    <w:rsid w:val="4D265657"/>
    <w:rsid w:val="4D2863FE"/>
    <w:rsid w:val="4D287A1D"/>
    <w:rsid w:val="4D2954FE"/>
    <w:rsid w:val="4D297A7F"/>
    <w:rsid w:val="4D2C3C83"/>
    <w:rsid w:val="4D2D13B9"/>
    <w:rsid w:val="4D3A507C"/>
    <w:rsid w:val="4D4324E8"/>
    <w:rsid w:val="4D4550B9"/>
    <w:rsid w:val="4D49427D"/>
    <w:rsid w:val="4D4A0283"/>
    <w:rsid w:val="4D4A4B64"/>
    <w:rsid w:val="4D4C28AA"/>
    <w:rsid w:val="4D4D5436"/>
    <w:rsid w:val="4D5243A4"/>
    <w:rsid w:val="4D53708E"/>
    <w:rsid w:val="4D573E80"/>
    <w:rsid w:val="4D583EA5"/>
    <w:rsid w:val="4D5964EC"/>
    <w:rsid w:val="4D69563F"/>
    <w:rsid w:val="4D6A4E0A"/>
    <w:rsid w:val="4D6A5234"/>
    <w:rsid w:val="4D6A5C73"/>
    <w:rsid w:val="4D6D5452"/>
    <w:rsid w:val="4D6F15B0"/>
    <w:rsid w:val="4D704F42"/>
    <w:rsid w:val="4D7063B1"/>
    <w:rsid w:val="4D7404F6"/>
    <w:rsid w:val="4D762A2F"/>
    <w:rsid w:val="4D8413D9"/>
    <w:rsid w:val="4D930279"/>
    <w:rsid w:val="4D9334F9"/>
    <w:rsid w:val="4D942F87"/>
    <w:rsid w:val="4DA4317C"/>
    <w:rsid w:val="4DA941F7"/>
    <w:rsid w:val="4DB137BC"/>
    <w:rsid w:val="4DB21340"/>
    <w:rsid w:val="4DB5604E"/>
    <w:rsid w:val="4DB81B69"/>
    <w:rsid w:val="4DBD79BC"/>
    <w:rsid w:val="4DC4404F"/>
    <w:rsid w:val="4DC4528E"/>
    <w:rsid w:val="4DC75F68"/>
    <w:rsid w:val="4DCB5B13"/>
    <w:rsid w:val="4DD26763"/>
    <w:rsid w:val="4DD477E3"/>
    <w:rsid w:val="4DD62C36"/>
    <w:rsid w:val="4DD76D6F"/>
    <w:rsid w:val="4DD8682D"/>
    <w:rsid w:val="4DDE6026"/>
    <w:rsid w:val="4DE32736"/>
    <w:rsid w:val="4DF33EB8"/>
    <w:rsid w:val="4DFB219C"/>
    <w:rsid w:val="4DFB2279"/>
    <w:rsid w:val="4DFD4F6B"/>
    <w:rsid w:val="4E0058C7"/>
    <w:rsid w:val="4E034F4B"/>
    <w:rsid w:val="4E04258F"/>
    <w:rsid w:val="4E063646"/>
    <w:rsid w:val="4E0B4C6B"/>
    <w:rsid w:val="4E1249B3"/>
    <w:rsid w:val="4E197388"/>
    <w:rsid w:val="4E1B0934"/>
    <w:rsid w:val="4E1C36F7"/>
    <w:rsid w:val="4E1E2497"/>
    <w:rsid w:val="4E1E6486"/>
    <w:rsid w:val="4E1F16FC"/>
    <w:rsid w:val="4E1F73CE"/>
    <w:rsid w:val="4E284529"/>
    <w:rsid w:val="4E2C1CDB"/>
    <w:rsid w:val="4E311129"/>
    <w:rsid w:val="4E357356"/>
    <w:rsid w:val="4E426D83"/>
    <w:rsid w:val="4E453CD9"/>
    <w:rsid w:val="4E455B69"/>
    <w:rsid w:val="4E523F0D"/>
    <w:rsid w:val="4E537FD0"/>
    <w:rsid w:val="4E59220B"/>
    <w:rsid w:val="4E5E123E"/>
    <w:rsid w:val="4E604FB7"/>
    <w:rsid w:val="4E6C70E0"/>
    <w:rsid w:val="4E6D42CF"/>
    <w:rsid w:val="4E7274A7"/>
    <w:rsid w:val="4E735581"/>
    <w:rsid w:val="4E77092A"/>
    <w:rsid w:val="4E770EC2"/>
    <w:rsid w:val="4E785B54"/>
    <w:rsid w:val="4E7B394F"/>
    <w:rsid w:val="4E852E05"/>
    <w:rsid w:val="4E867471"/>
    <w:rsid w:val="4E897044"/>
    <w:rsid w:val="4E8B7CB1"/>
    <w:rsid w:val="4E8C23FA"/>
    <w:rsid w:val="4E8E2E12"/>
    <w:rsid w:val="4E915170"/>
    <w:rsid w:val="4E962707"/>
    <w:rsid w:val="4E9D1D67"/>
    <w:rsid w:val="4EA30CFD"/>
    <w:rsid w:val="4EAB41EC"/>
    <w:rsid w:val="4EAE5CFF"/>
    <w:rsid w:val="4EB250E6"/>
    <w:rsid w:val="4EB27FA4"/>
    <w:rsid w:val="4EB453F5"/>
    <w:rsid w:val="4EB56A9F"/>
    <w:rsid w:val="4EB94E60"/>
    <w:rsid w:val="4EC073E8"/>
    <w:rsid w:val="4EC20957"/>
    <w:rsid w:val="4EC22AE1"/>
    <w:rsid w:val="4EC31000"/>
    <w:rsid w:val="4EC67D3C"/>
    <w:rsid w:val="4ECA0682"/>
    <w:rsid w:val="4ECB5F41"/>
    <w:rsid w:val="4ECD36B7"/>
    <w:rsid w:val="4ED94361"/>
    <w:rsid w:val="4EDF7D01"/>
    <w:rsid w:val="4EEB6BF4"/>
    <w:rsid w:val="4EEC05F8"/>
    <w:rsid w:val="4EF0594C"/>
    <w:rsid w:val="4EF07923"/>
    <w:rsid w:val="4EF12B9B"/>
    <w:rsid w:val="4EFD79E0"/>
    <w:rsid w:val="4F0230F0"/>
    <w:rsid w:val="4F0911AA"/>
    <w:rsid w:val="4F144E4E"/>
    <w:rsid w:val="4F1622A1"/>
    <w:rsid w:val="4F174919"/>
    <w:rsid w:val="4F1F3BFC"/>
    <w:rsid w:val="4F200666"/>
    <w:rsid w:val="4F3030B6"/>
    <w:rsid w:val="4F3107B2"/>
    <w:rsid w:val="4F3618D2"/>
    <w:rsid w:val="4F366031"/>
    <w:rsid w:val="4F457D33"/>
    <w:rsid w:val="4F477A8A"/>
    <w:rsid w:val="4F513F40"/>
    <w:rsid w:val="4F5148FF"/>
    <w:rsid w:val="4F520C2B"/>
    <w:rsid w:val="4F563454"/>
    <w:rsid w:val="4F566E44"/>
    <w:rsid w:val="4F62571F"/>
    <w:rsid w:val="4F6276FE"/>
    <w:rsid w:val="4F6A45EA"/>
    <w:rsid w:val="4F712A50"/>
    <w:rsid w:val="4F714B40"/>
    <w:rsid w:val="4F7323D4"/>
    <w:rsid w:val="4F734876"/>
    <w:rsid w:val="4F7529A5"/>
    <w:rsid w:val="4F752BA6"/>
    <w:rsid w:val="4F777787"/>
    <w:rsid w:val="4F78130D"/>
    <w:rsid w:val="4F7A79D4"/>
    <w:rsid w:val="4F7E05C5"/>
    <w:rsid w:val="4F7E4010"/>
    <w:rsid w:val="4F80727E"/>
    <w:rsid w:val="4F847598"/>
    <w:rsid w:val="4F8748A6"/>
    <w:rsid w:val="4F8B6063"/>
    <w:rsid w:val="4F8E16AF"/>
    <w:rsid w:val="4F9300A1"/>
    <w:rsid w:val="4F94647A"/>
    <w:rsid w:val="4F98210C"/>
    <w:rsid w:val="4F983F18"/>
    <w:rsid w:val="4F9A07A8"/>
    <w:rsid w:val="4F9C0735"/>
    <w:rsid w:val="4FA45FB8"/>
    <w:rsid w:val="4FA56851"/>
    <w:rsid w:val="4FA71643"/>
    <w:rsid w:val="4FA85BAB"/>
    <w:rsid w:val="4FA9674E"/>
    <w:rsid w:val="4FA9684C"/>
    <w:rsid w:val="4FB11A17"/>
    <w:rsid w:val="4FB1539E"/>
    <w:rsid w:val="4FB668E5"/>
    <w:rsid w:val="4FC44F5B"/>
    <w:rsid w:val="4FCC21C3"/>
    <w:rsid w:val="4FD175F8"/>
    <w:rsid w:val="4FD56EE0"/>
    <w:rsid w:val="4FDE6077"/>
    <w:rsid w:val="4FDF64DD"/>
    <w:rsid w:val="4FE11A0F"/>
    <w:rsid w:val="4FE13B42"/>
    <w:rsid w:val="4FE439C5"/>
    <w:rsid w:val="4FF16B4A"/>
    <w:rsid w:val="4FF2011B"/>
    <w:rsid w:val="4FF213C3"/>
    <w:rsid w:val="4FF54EDC"/>
    <w:rsid w:val="4FF83E43"/>
    <w:rsid w:val="4FF849A1"/>
    <w:rsid w:val="4FFB45C3"/>
    <w:rsid w:val="500036E2"/>
    <w:rsid w:val="5000559A"/>
    <w:rsid w:val="50037F8C"/>
    <w:rsid w:val="500951DA"/>
    <w:rsid w:val="500A449B"/>
    <w:rsid w:val="500F7A18"/>
    <w:rsid w:val="50196443"/>
    <w:rsid w:val="501B10B2"/>
    <w:rsid w:val="50223EA8"/>
    <w:rsid w:val="502416A8"/>
    <w:rsid w:val="502965B2"/>
    <w:rsid w:val="50297E31"/>
    <w:rsid w:val="502C28BC"/>
    <w:rsid w:val="50322E28"/>
    <w:rsid w:val="50324731"/>
    <w:rsid w:val="50343FE1"/>
    <w:rsid w:val="503519D1"/>
    <w:rsid w:val="503E1024"/>
    <w:rsid w:val="504144C0"/>
    <w:rsid w:val="50474947"/>
    <w:rsid w:val="50475B8C"/>
    <w:rsid w:val="504B278F"/>
    <w:rsid w:val="504E3DFC"/>
    <w:rsid w:val="50577C8A"/>
    <w:rsid w:val="5059739A"/>
    <w:rsid w:val="505E11D5"/>
    <w:rsid w:val="505F194C"/>
    <w:rsid w:val="506518A0"/>
    <w:rsid w:val="5069346B"/>
    <w:rsid w:val="507047B3"/>
    <w:rsid w:val="50733BA5"/>
    <w:rsid w:val="507A3AC3"/>
    <w:rsid w:val="507C18E6"/>
    <w:rsid w:val="507E55A3"/>
    <w:rsid w:val="50857862"/>
    <w:rsid w:val="50877CAD"/>
    <w:rsid w:val="508C074F"/>
    <w:rsid w:val="508C2093"/>
    <w:rsid w:val="508D1E6D"/>
    <w:rsid w:val="508F1B83"/>
    <w:rsid w:val="5097158E"/>
    <w:rsid w:val="509824C4"/>
    <w:rsid w:val="509B5729"/>
    <w:rsid w:val="50A82F77"/>
    <w:rsid w:val="50AD052A"/>
    <w:rsid w:val="50AD2AEE"/>
    <w:rsid w:val="50AE6AF1"/>
    <w:rsid w:val="50B0550D"/>
    <w:rsid w:val="50BA5798"/>
    <w:rsid w:val="50BA71D4"/>
    <w:rsid w:val="50C0396E"/>
    <w:rsid w:val="50C555A5"/>
    <w:rsid w:val="50C57E8B"/>
    <w:rsid w:val="50C638A0"/>
    <w:rsid w:val="50C66853"/>
    <w:rsid w:val="50C703C2"/>
    <w:rsid w:val="50CE26AB"/>
    <w:rsid w:val="50D11614"/>
    <w:rsid w:val="50D9068C"/>
    <w:rsid w:val="50DA5DA2"/>
    <w:rsid w:val="50DF0E3A"/>
    <w:rsid w:val="50E41A6D"/>
    <w:rsid w:val="50E702D5"/>
    <w:rsid w:val="50EC3263"/>
    <w:rsid w:val="50F2359C"/>
    <w:rsid w:val="50F34144"/>
    <w:rsid w:val="50F70214"/>
    <w:rsid w:val="510065DD"/>
    <w:rsid w:val="510455A0"/>
    <w:rsid w:val="510621A3"/>
    <w:rsid w:val="51102661"/>
    <w:rsid w:val="51191145"/>
    <w:rsid w:val="51191454"/>
    <w:rsid w:val="512912ED"/>
    <w:rsid w:val="512C7F5C"/>
    <w:rsid w:val="512D1169"/>
    <w:rsid w:val="512F5F36"/>
    <w:rsid w:val="513242C7"/>
    <w:rsid w:val="5133250E"/>
    <w:rsid w:val="51341179"/>
    <w:rsid w:val="514438AC"/>
    <w:rsid w:val="51454E2B"/>
    <w:rsid w:val="514822A7"/>
    <w:rsid w:val="514858BF"/>
    <w:rsid w:val="51490AB9"/>
    <w:rsid w:val="51493AF0"/>
    <w:rsid w:val="51524FBA"/>
    <w:rsid w:val="51556FE8"/>
    <w:rsid w:val="515F2E37"/>
    <w:rsid w:val="516440E8"/>
    <w:rsid w:val="51656333"/>
    <w:rsid w:val="51685E00"/>
    <w:rsid w:val="516B04A4"/>
    <w:rsid w:val="516C26A4"/>
    <w:rsid w:val="516E33F7"/>
    <w:rsid w:val="51702179"/>
    <w:rsid w:val="5170325F"/>
    <w:rsid w:val="51736C03"/>
    <w:rsid w:val="5175168F"/>
    <w:rsid w:val="51757A8A"/>
    <w:rsid w:val="51774973"/>
    <w:rsid w:val="517A638F"/>
    <w:rsid w:val="517B326B"/>
    <w:rsid w:val="51865EB6"/>
    <w:rsid w:val="518A4FAF"/>
    <w:rsid w:val="518E70F8"/>
    <w:rsid w:val="51902138"/>
    <w:rsid w:val="51913CE7"/>
    <w:rsid w:val="51980673"/>
    <w:rsid w:val="519815F3"/>
    <w:rsid w:val="519832A5"/>
    <w:rsid w:val="51A25306"/>
    <w:rsid w:val="51A42208"/>
    <w:rsid w:val="51A46EB8"/>
    <w:rsid w:val="51A50E11"/>
    <w:rsid w:val="51AD2FD3"/>
    <w:rsid w:val="51B111C3"/>
    <w:rsid w:val="51B319B3"/>
    <w:rsid w:val="51B46706"/>
    <w:rsid w:val="51B92DD3"/>
    <w:rsid w:val="51BB2504"/>
    <w:rsid w:val="51BB36C8"/>
    <w:rsid w:val="51BE1094"/>
    <w:rsid w:val="51C545A1"/>
    <w:rsid w:val="51CB3294"/>
    <w:rsid w:val="51CB6F5C"/>
    <w:rsid w:val="51D31783"/>
    <w:rsid w:val="51D7674B"/>
    <w:rsid w:val="51DC0036"/>
    <w:rsid w:val="51DF4414"/>
    <w:rsid w:val="51E25CE3"/>
    <w:rsid w:val="51E424C6"/>
    <w:rsid w:val="51EB2A9C"/>
    <w:rsid w:val="51ED4DB3"/>
    <w:rsid w:val="51F45D38"/>
    <w:rsid w:val="51F46DCA"/>
    <w:rsid w:val="51F47E0C"/>
    <w:rsid w:val="51F91094"/>
    <w:rsid w:val="51F93A62"/>
    <w:rsid w:val="52064E23"/>
    <w:rsid w:val="52065DD5"/>
    <w:rsid w:val="52096CFC"/>
    <w:rsid w:val="521176CB"/>
    <w:rsid w:val="52132340"/>
    <w:rsid w:val="52154AF8"/>
    <w:rsid w:val="5215570D"/>
    <w:rsid w:val="52167B9E"/>
    <w:rsid w:val="521904BC"/>
    <w:rsid w:val="52193333"/>
    <w:rsid w:val="521D7394"/>
    <w:rsid w:val="52224C9A"/>
    <w:rsid w:val="5222692A"/>
    <w:rsid w:val="522D3402"/>
    <w:rsid w:val="522F2DA6"/>
    <w:rsid w:val="523E73BD"/>
    <w:rsid w:val="524301F8"/>
    <w:rsid w:val="52433E7C"/>
    <w:rsid w:val="52444C48"/>
    <w:rsid w:val="5245293A"/>
    <w:rsid w:val="52466141"/>
    <w:rsid w:val="52476011"/>
    <w:rsid w:val="5249706D"/>
    <w:rsid w:val="524B7D2C"/>
    <w:rsid w:val="525044AB"/>
    <w:rsid w:val="52506A74"/>
    <w:rsid w:val="52515138"/>
    <w:rsid w:val="52515BBC"/>
    <w:rsid w:val="52592449"/>
    <w:rsid w:val="525C0E2C"/>
    <w:rsid w:val="525C13B0"/>
    <w:rsid w:val="52621016"/>
    <w:rsid w:val="526A0444"/>
    <w:rsid w:val="527C321F"/>
    <w:rsid w:val="52810E35"/>
    <w:rsid w:val="5281253A"/>
    <w:rsid w:val="52856FBE"/>
    <w:rsid w:val="52876CDA"/>
    <w:rsid w:val="528C4C2D"/>
    <w:rsid w:val="528E0D72"/>
    <w:rsid w:val="528F7D2A"/>
    <w:rsid w:val="52923265"/>
    <w:rsid w:val="52940917"/>
    <w:rsid w:val="529606F9"/>
    <w:rsid w:val="529A7F11"/>
    <w:rsid w:val="52AC7639"/>
    <w:rsid w:val="52AD11A6"/>
    <w:rsid w:val="52AE6C61"/>
    <w:rsid w:val="52B561E7"/>
    <w:rsid w:val="52C17D8C"/>
    <w:rsid w:val="52C2175A"/>
    <w:rsid w:val="52CF3B95"/>
    <w:rsid w:val="52D06EA1"/>
    <w:rsid w:val="52D34409"/>
    <w:rsid w:val="52D35792"/>
    <w:rsid w:val="52D6000D"/>
    <w:rsid w:val="52D7490F"/>
    <w:rsid w:val="52D75E15"/>
    <w:rsid w:val="52DD61F2"/>
    <w:rsid w:val="52E85D8E"/>
    <w:rsid w:val="52E863D3"/>
    <w:rsid w:val="52E97A18"/>
    <w:rsid w:val="52EF6909"/>
    <w:rsid w:val="52F0732B"/>
    <w:rsid w:val="52F40221"/>
    <w:rsid w:val="52F60842"/>
    <w:rsid w:val="52F90C81"/>
    <w:rsid w:val="52FE5510"/>
    <w:rsid w:val="53050D2A"/>
    <w:rsid w:val="53053455"/>
    <w:rsid w:val="53154CA0"/>
    <w:rsid w:val="531E016D"/>
    <w:rsid w:val="532122D0"/>
    <w:rsid w:val="5323559A"/>
    <w:rsid w:val="53244272"/>
    <w:rsid w:val="532712A4"/>
    <w:rsid w:val="53277C50"/>
    <w:rsid w:val="53292F3D"/>
    <w:rsid w:val="53323DF0"/>
    <w:rsid w:val="53327571"/>
    <w:rsid w:val="533700DA"/>
    <w:rsid w:val="53373E0C"/>
    <w:rsid w:val="533859B6"/>
    <w:rsid w:val="533B34D9"/>
    <w:rsid w:val="5341172D"/>
    <w:rsid w:val="53444C19"/>
    <w:rsid w:val="5347663F"/>
    <w:rsid w:val="534A478F"/>
    <w:rsid w:val="534A6C5C"/>
    <w:rsid w:val="534C38D0"/>
    <w:rsid w:val="534C79D0"/>
    <w:rsid w:val="534D064A"/>
    <w:rsid w:val="534D3CC7"/>
    <w:rsid w:val="53551A7B"/>
    <w:rsid w:val="53582700"/>
    <w:rsid w:val="53634C01"/>
    <w:rsid w:val="536631FE"/>
    <w:rsid w:val="53732091"/>
    <w:rsid w:val="5386726D"/>
    <w:rsid w:val="53870981"/>
    <w:rsid w:val="539244B7"/>
    <w:rsid w:val="539404E7"/>
    <w:rsid w:val="539B06ED"/>
    <w:rsid w:val="539C09A3"/>
    <w:rsid w:val="539F2C42"/>
    <w:rsid w:val="53A544E9"/>
    <w:rsid w:val="53A96D27"/>
    <w:rsid w:val="53AF294C"/>
    <w:rsid w:val="53B05BA6"/>
    <w:rsid w:val="53B412DB"/>
    <w:rsid w:val="53B414BD"/>
    <w:rsid w:val="53B667CA"/>
    <w:rsid w:val="53BB7334"/>
    <w:rsid w:val="53BC5132"/>
    <w:rsid w:val="53BD6A07"/>
    <w:rsid w:val="53C034C8"/>
    <w:rsid w:val="53C0722C"/>
    <w:rsid w:val="53C67C2B"/>
    <w:rsid w:val="53CB2C9A"/>
    <w:rsid w:val="53CC2632"/>
    <w:rsid w:val="53D34A97"/>
    <w:rsid w:val="53D8114B"/>
    <w:rsid w:val="53DA493D"/>
    <w:rsid w:val="53E0374F"/>
    <w:rsid w:val="53E14B30"/>
    <w:rsid w:val="53E40DC1"/>
    <w:rsid w:val="53E939BD"/>
    <w:rsid w:val="53EA44B8"/>
    <w:rsid w:val="53EB0417"/>
    <w:rsid w:val="53EE24D0"/>
    <w:rsid w:val="53F832B7"/>
    <w:rsid w:val="53FA37B7"/>
    <w:rsid w:val="53FB2699"/>
    <w:rsid w:val="53FB4523"/>
    <w:rsid w:val="540215C8"/>
    <w:rsid w:val="54044AE2"/>
    <w:rsid w:val="540B770E"/>
    <w:rsid w:val="541008E5"/>
    <w:rsid w:val="54104D89"/>
    <w:rsid w:val="541270B5"/>
    <w:rsid w:val="54172673"/>
    <w:rsid w:val="541A1E28"/>
    <w:rsid w:val="541B2323"/>
    <w:rsid w:val="541E4A3C"/>
    <w:rsid w:val="54212101"/>
    <w:rsid w:val="5426635A"/>
    <w:rsid w:val="542C1A0C"/>
    <w:rsid w:val="542E6703"/>
    <w:rsid w:val="5435237B"/>
    <w:rsid w:val="54372552"/>
    <w:rsid w:val="543A2EAE"/>
    <w:rsid w:val="544B1912"/>
    <w:rsid w:val="544C24C1"/>
    <w:rsid w:val="544F2776"/>
    <w:rsid w:val="545A50AF"/>
    <w:rsid w:val="545B7C65"/>
    <w:rsid w:val="545E655F"/>
    <w:rsid w:val="54601098"/>
    <w:rsid w:val="54665413"/>
    <w:rsid w:val="546968F5"/>
    <w:rsid w:val="54703A13"/>
    <w:rsid w:val="547277F2"/>
    <w:rsid w:val="547454F9"/>
    <w:rsid w:val="54765490"/>
    <w:rsid w:val="547E11EC"/>
    <w:rsid w:val="54866E5A"/>
    <w:rsid w:val="548A0BB0"/>
    <w:rsid w:val="548C1D51"/>
    <w:rsid w:val="548D7B75"/>
    <w:rsid w:val="549015F7"/>
    <w:rsid w:val="54915BE3"/>
    <w:rsid w:val="54935F36"/>
    <w:rsid w:val="54952864"/>
    <w:rsid w:val="5497516D"/>
    <w:rsid w:val="54992DA2"/>
    <w:rsid w:val="54996EAD"/>
    <w:rsid w:val="549C661D"/>
    <w:rsid w:val="54A707DB"/>
    <w:rsid w:val="54AC0B76"/>
    <w:rsid w:val="54AD5344"/>
    <w:rsid w:val="54AF5D56"/>
    <w:rsid w:val="54B25E69"/>
    <w:rsid w:val="54B67BAE"/>
    <w:rsid w:val="54C270EC"/>
    <w:rsid w:val="54C4693E"/>
    <w:rsid w:val="54C622E6"/>
    <w:rsid w:val="54C657FD"/>
    <w:rsid w:val="54C86EC9"/>
    <w:rsid w:val="54C92284"/>
    <w:rsid w:val="54CC37E8"/>
    <w:rsid w:val="54CE3C07"/>
    <w:rsid w:val="54CF6591"/>
    <w:rsid w:val="54D538DD"/>
    <w:rsid w:val="54D95D09"/>
    <w:rsid w:val="54DC06A2"/>
    <w:rsid w:val="54DC2EBD"/>
    <w:rsid w:val="54E12042"/>
    <w:rsid w:val="54E35AC0"/>
    <w:rsid w:val="54E634F2"/>
    <w:rsid w:val="54EC3558"/>
    <w:rsid w:val="54F13CD1"/>
    <w:rsid w:val="54F13E2F"/>
    <w:rsid w:val="54F1467D"/>
    <w:rsid w:val="54F14AF2"/>
    <w:rsid w:val="54F1589C"/>
    <w:rsid w:val="54F37BD5"/>
    <w:rsid w:val="54FA27E9"/>
    <w:rsid w:val="54FE4CCC"/>
    <w:rsid w:val="55026EF2"/>
    <w:rsid w:val="550511EF"/>
    <w:rsid w:val="55081F04"/>
    <w:rsid w:val="550A56F8"/>
    <w:rsid w:val="55161001"/>
    <w:rsid w:val="5517390C"/>
    <w:rsid w:val="55193D6B"/>
    <w:rsid w:val="55206675"/>
    <w:rsid w:val="552225F8"/>
    <w:rsid w:val="552423B2"/>
    <w:rsid w:val="552949FE"/>
    <w:rsid w:val="552C4D95"/>
    <w:rsid w:val="552C6BF5"/>
    <w:rsid w:val="552E1E91"/>
    <w:rsid w:val="55375E77"/>
    <w:rsid w:val="5539485A"/>
    <w:rsid w:val="554A6449"/>
    <w:rsid w:val="554C11A0"/>
    <w:rsid w:val="554D5B69"/>
    <w:rsid w:val="5552254D"/>
    <w:rsid w:val="5555605B"/>
    <w:rsid w:val="555A0F1D"/>
    <w:rsid w:val="55633E9B"/>
    <w:rsid w:val="556A7785"/>
    <w:rsid w:val="557409D9"/>
    <w:rsid w:val="55763464"/>
    <w:rsid w:val="55780CC9"/>
    <w:rsid w:val="55786957"/>
    <w:rsid w:val="5579190B"/>
    <w:rsid w:val="557E0BE4"/>
    <w:rsid w:val="557E3761"/>
    <w:rsid w:val="55877028"/>
    <w:rsid w:val="558F629D"/>
    <w:rsid w:val="559538DA"/>
    <w:rsid w:val="55957D5F"/>
    <w:rsid w:val="55977DF5"/>
    <w:rsid w:val="559C4C96"/>
    <w:rsid w:val="559D3658"/>
    <w:rsid w:val="55A13A9E"/>
    <w:rsid w:val="55BB19B3"/>
    <w:rsid w:val="55C220B3"/>
    <w:rsid w:val="55C64913"/>
    <w:rsid w:val="55C7557C"/>
    <w:rsid w:val="55C952BC"/>
    <w:rsid w:val="55CB02E7"/>
    <w:rsid w:val="55CC0EC0"/>
    <w:rsid w:val="55CD37E7"/>
    <w:rsid w:val="55D074C5"/>
    <w:rsid w:val="55D84443"/>
    <w:rsid w:val="55D901D4"/>
    <w:rsid w:val="55D94C00"/>
    <w:rsid w:val="55DB07F2"/>
    <w:rsid w:val="55DE3629"/>
    <w:rsid w:val="55E450EE"/>
    <w:rsid w:val="55E977EA"/>
    <w:rsid w:val="55EB5668"/>
    <w:rsid w:val="55F45C57"/>
    <w:rsid w:val="55F63C5A"/>
    <w:rsid w:val="55FB23A1"/>
    <w:rsid w:val="55FB6904"/>
    <w:rsid w:val="55FC092E"/>
    <w:rsid w:val="56010E2D"/>
    <w:rsid w:val="56035B6E"/>
    <w:rsid w:val="560A4F60"/>
    <w:rsid w:val="560C5946"/>
    <w:rsid w:val="56114ADE"/>
    <w:rsid w:val="561405A4"/>
    <w:rsid w:val="56193676"/>
    <w:rsid w:val="56231A3F"/>
    <w:rsid w:val="56251899"/>
    <w:rsid w:val="562831F8"/>
    <w:rsid w:val="56290384"/>
    <w:rsid w:val="562A1B5C"/>
    <w:rsid w:val="5630133F"/>
    <w:rsid w:val="56320216"/>
    <w:rsid w:val="56390221"/>
    <w:rsid w:val="563B6C6B"/>
    <w:rsid w:val="563B7DF1"/>
    <w:rsid w:val="563D08F4"/>
    <w:rsid w:val="563E6B57"/>
    <w:rsid w:val="56421823"/>
    <w:rsid w:val="56453260"/>
    <w:rsid w:val="56455C71"/>
    <w:rsid w:val="56462089"/>
    <w:rsid w:val="564801AE"/>
    <w:rsid w:val="564B7A30"/>
    <w:rsid w:val="56521689"/>
    <w:rsid w:val="5654022C"/>
    <w:rsid w:val="5654531D"/>
    <w:rsid w:val="56546470"/>
    <w:rsid w:val="56591019"/>
    <w:rsid w:val="565D46C8"/>
    <w:rsid w:val="565F2FDF"/>
    <w:rsid w:val="56654B83"/>
    <w:rsid w:val="5670576F"/>
    <w:rsid w:val="56777341"/>
    <w:rsid w:val="56803CB3"/>
    <w:rsid w:val="56803FA6"/>
    <w:rsid w:val="568B3E08"/>
    <w:rsid w:val="568C1320"/>
    <w:rsid w:val="56916F31"/>
    <w:rsid w:val="569324DA"/>
    <w:rsid w:val="56960548"/>
    <w:rsid w:val="5697353F"/>
    <w:rsid w:val="56A9043D"/>
    <w:rsid w:val="56AA437A"/>
    <w:rsid w:val="56AC4E06"/>
    <w:rsid w:val="56AF6479"/>
    <w:rsid w:val="56B1609E"/>
    <w:rsid w:val="56B45F0C"/>
    <w:rsid w:val="56C27F0F"/>
    <w:rsid w:val="56C34335"/>
    <w:rsid w:val="56C83D16"/>
    <w:rsid w:val="56C974BE"/>
    <w:rsid w:val="56CC600E"/>
    <w:rsid w:val="56CC6C35"/>
    <w:rsid w:val="56D4209E"/>
    <w:rsid w:val="56D64810"/>
    <w:rsid w:val="56D67EF9"/>
    <w:rsid w:val="56D8056C"/>
    <w:rsid w:val="56D85DD2"/>
    <w:rsid w:val="56E569C7"/>
    <w:rsid w:val="56E96C1E"/>
    <w:rsid w:val="56ED2CEB"/>
    <w:rsid w:val="56F2475C"/>
    <w:rsid w:val="56F24C1A"/>
    <w:rsid w:val="56F548CE"/>
    <w:rsid w:val="56F85EE4"/>
    <w:rsid w:val="57017567"/>
    <w:rsid w:val="57084390"/>
    <w:rsid w:val="570A444B"/>
    <w:rsid w:val="570A5ABF"/>
    <w:rsid w:val="57104C31"/>
    <w:rsid w:val="57121A12"/>
    <w:rsid w:val="571267D0"/>
    <w:rsid w:val="571526B6"/>
    <w:rsid w:val="5715718F"/>
    <w:rsid w:val="57187170"/>
    <w:rsid w:val="57194920"/>
    <w:rsid w:val="571A073A"/>
    <w:rsid w:val="572B4CD4"/>
    <w:rsid w:val="572E3410"/>
    <w:rsid w:val="57304D58"/>
    <w:rsid w:val="57343FA0"/>
    <w:rsid w:val="57362A45"/>
    <w:rsid w:val="57393E1A"/>
    <w:rsid w:val="57410DA4"/>
    <w:rsid w:val="5756404C"/>
    <w:rsid w:val="575C58DE"/>
    <w:rsid w:val="575F3DB9"/>
    <w:rsid w:val="57691F34"/>
    <w:rsid w:val="576B70BE"/>
    <w:rsid w:val="576F2B42"/>
    <w:rsid w:val="57701ED5"/>
    <w:rsid w:val="5778511F"/>
    <w:rsid w:val="577A0952"/>
    <w:rsid w:val="5780146D"/>
    <w:rsid w:val="57845529"/>
    <w:rsid w:val="5785038B"/>
    <w:rsid w:val="57870BD8"/>
    <w:rsid w:val="578A6DE2"/>
    <w:rsid w:val="578B0182"/>
    <w:rsid w:val="578C63DF"/>
    <w:rsid w:val="57911284"/>
    <w:rsid w:val="579377F7"/>
    <w:rsid w:val="57966906"/>
    <w:rsid w:val="579E7AEC"/>
    <w:rsid w:val="57A104DF"/>
    <w:rsid w:val="57A24FF1"/>
    <w:rsid w:val="57A44AAC"/>
    <w:rsid w:val="57A7203D"/>
    <w:rsid w:val="57AC5E9C"/>
    <w:rsid w:val="57B80698"/>
    <w:rsid w:val="57BA2C8A"/>
    <w:rsid w:val="57BA6246"/>
    <w:rsid w:val="57BE21C0"/>
    <w:rsid w:val="57BE2456"/>
    <w:rsid w:val="57BE4AB6"/>
    <w:rsid w:val="57BF6D3B"/>
    <w:rsid w:val="57C2524A"/>
    <w:rsid w:val="57C41C28"/>
    <w:rsid w:val="57C44CEB"/>
    <w:rsid w:val="57C85B7A"/>
    <w:rsid w:val="57C96D8C"/>
    <w:rsid w:val="57CE1F10"/>
    <w:rsid w:val="57CE2503"/>
    <w:rsid w:val="57CF53A2"/>
    <w:rsid w:val="57D1258D"/>
    <w:rsid w:val="57D367F9"/>
    <w:rsid w:val="57DA57EB"/>
    <w:rsid w:val="57DB56AE"/>
    <w:rsid w:val="57DF5F8B"/>
    <w:rsid w:val="57E33F87"/>
    <w:rsid w:val="57E84B19"/>
    <w:rsid w:val="57ED0D5E"/>
    <w:rsid w:val="57EF2653"/>
    <w:rsid w:val="57EF37E1"/>
    <w:rsid w:val="57FF584E"/>
    <w:rsid w:val="580B4ED8"/>
    <w:rsid w:val="58120EA3"/>
    <w:rsid w:val="58193F00"/>
    <w:rsid w:val="581D4DC6"/>
    <w:rsid w:val="581F5887"/>
    <w:rsid w:val="58222339"/>
    <w:rsid w:val="582A3AB4"/>
    <w:rsid w:val="582D4EDB"/>
    <w:rsid w:val="582F58F9"/>
    <w:rsid w:val="58363253"/>
    <w:rsid w:val="58381483"/>
    <w:rsid w:val="583C24A1"/>
    <w:rsid w:val="583D15C9"/>
    <w:rsid w:val="58447E33"/>
    <w:rsid w:val="584831F4"/>
    <w:rsid w:val="58491F5D"/>
    <w:rsid w:val="584D4031"/>
    <w:rsid w:val="585037A5"/>
    <w:rsid w:val="58505158"/>
    <w:rsid w:val="585711D8"/>
    <w:rsid w:val="5859096E"/>
    <w:rsid w:val="58593D02"/>
    <w:rsid w:val="585D0EB2"/>
    <w:rsid w:val="585D5169"/>
    <w:rsid w:val="585E4684"/>
    <w:rsid w:val="58624C5B"/>
    <w:rsid w:val="586861AC"/>
    <w:rsid w:val="58686A59"/>
    <w:rsid w:val="586E5BD5"/>
    <w:rsid w:val="58706EC4"/>
    <w:rsid w:val="58733B38"/>
    <w:rsid w:val="587A4809"/>
    <w:rsid w:val="587B1B19"/>
    <w:rsid w:val="58866CB1"/>
    <w:rsid w:val="5889335C"/>
    <w:rsid w:val="589046EA"/>
    <w:rsid w:val="58907EFA"/>
    <w:rsid w:val="589823D5"/>
    <w:rsid w:val="58A27C1F"/>
    <w:rsid w:val="58A412E6"/>
    <w:rsid w:val="58A70E27"/>
    <w:rsid w:val="58AD7C58"/>
    <w:rsid w:val="58B47348"/>
    <w:rsid w:val="58BE1257"/>
    <w:rsid w:val="58BE53A7"/>
    <w:rsid w:val="58C11424"/>
    <w:rsid w:val="58C271B1"/>
    <w:rsid w:val="58C52FB3"/>
    <w:rsid w:val="58C6125A"/>
    <w:rsid w:val="58D2510F"/>
    <w:rsid w:val="58D740C7"/>
    <w:rsid w:val="58D80AC3"/>
    <w:rsid w:val="58E14989"/>
    <w:rsid w:val="58E40F37"/>
    <w:rsid w:val="58E529B1"/>
    <w:rsid w:val="58E903C4"/>
    <w:rsid w:val="58EC408D"/>
    <w:rsid w:val="58F179D5"/>
    <w:rsid w:val="58F3796D"/>
    <w:rsid w:val="58FC2A18"/>
    <w:rsid w:val="58FD7EB1"/>
    <w:rsid w:val="58FE5F1A"/>
    <w:rsid w:val="58FF6505"/>
    <w:rsid w:val="58FF747B"/>
    <w:rsid w:val="590116BE"/>
    <w:rsid w:val="59023F6F"/>
    <w:rsid w:val="590554F4"/>
    <w:rsid w:val="59070761"/>
    <w:rsid w:val="590C1EBF"/>
    <w:rsid w:val="590D6C96"/>
    <w:rsid w:val="5915074C"/>
    <w:rsid w:val="5916448B"/>
    <w:rsid w:val="591B4414"/>
    <w:rsid w:val="591F2307"/>
    <w:rsid w:val="59203199"/>
    <w:rsid w:val="59213E93"/>
    <w:rsid w:val="59230994"/>
    <w:rsid w:val="59232C70"/>
    <w:rsid w:val="592C2A0F"/>
    <w:rsid w:val="5938190F"/>
    <w:rsid w:val="59396B30"/>
    <w:rsid w:val="593E1030"/>
    <w:rsid w:val="59462FFB"/>
    <w:rsid w:val="594E1B80"/>
    <w:rsid w:val="594E6F0F"/>
    <w:rsid w:val="595062AD"/>
    <w:rsid w:val="595339A4"/>
    <w:rsid w:val="59582070"/>
    <w:rsid w:val="59587DE7"/>
    <w:rsid w:val="595E6589"/>
    <w:rsid w:val="596671F9"/>
    <w:rsid w:val="596936D7"/>
    <w:rsid w:val="596B6283"/>
    <w:rsid w:val="596C0CB3"/>
    <w:rsid w:val="59773F67"/>
    <w:rsid w:val="59831102"/>
    <w:rsid w:val="598A4E55"/>
    <w:rsid w:val="598E44DA"/>
    <w:rsid w:val="599517C3"/>
    <w:rsid w:val="599F1193"/>
    <w:rsid w:val="59A05A02"/>
    <w:rsid w:val="59A3190A"/>
    <w:rsid w:val="59A3596B"/>
    <w:rsid w:val="59A365D6"/>
    <w:rsid w:val="59A60AFF"/>
    <w:rsid w:val="59AA17DC"/>
    <w:rsid w:val="59AE0B0A"/>
    <w:rsid w:val="59B03CF9"/>
    <w:rsid w:val="59B65C85"/>
    <w:rsid w:val="59BC320F"/>
    <w:rsid w:val="59BD78F7"/>
    <w:rsid w:val="59BE5290"/>
    <w:rsid w:val="59C20E80"/>
    <w:rsid w:val="59C76939"/>
    <w:rsid w:val="59C77C52"/>
    <w:rsid w:val="59CB37F6"/>
    <w:rsid w:val="59CF7D94"/>
    <w:rsid w:val="59D32AE1"/>
    <w:rsid w:val="59D420E6"/>
    <w:rsid w:val="59D4446D"/>
    <w:rsid w:val="59D730BD"/>
    <w:rsid w:val="59DB6AAC"/>
    <w:rsid w:val="59DC7CBD"/>
    <w:rsid w:val="59DE2837"/>
    <w:rsid w:val="59E37A9A"/>
    <w:rsid w:val="59EA19B2"/>
    <w:rsid w:val="59EE791A"/>
    <w:rsid w:val="59EF71EF"/>
    <w:rsid w:val="59F12F67"/>
    <w:rsid w:val="59F1740B"/>
    <w:rsid w:val="59F41283"/>
    <w:rsid w:val="59F425C3"/>
    <w:rsid w:val="59FB6463"/>
    <w:rsid w:val="59FE791F"/>
    <w:rsid w:val="59FF227B"/>
    <w:rsid w:val="5A00455B"/>
    <w:rsid w:val="5A0054A9"/>
    <w:rsid w:val="5A0807D7"/>
    <w:rsid w:val="5A0854F3"/>
    <w:rsid w:val="5A0A5DD6"/>
    <w:rsid w:val="5A0C22ED"/>
    <w:rsid w:val="5A0D433F"/>
    <w:rsid w:val="5A0F1E5F"/>
    <w:rsid w:val="5A0F75F9"/>
    <w:rsid w:val="5A117B8F"/>
    <w:rsid w:val="5A1333CA"/>
    <w:rsid w:val="5A141916"/>
    <w:rsid w:val="5A15192F"/>
    <w:rsid w:val="5A1A6B2D"/>
    <w:rsid w:val="5A1B0528"/>
    <w:rsid w:val="5A1F4A13"/>
    <w:rsid w:val="5A2023A9"/>
    <w:rsid w:val="5A234F4E"/>
    <w:rsid w:val="5A2545CB"/>
    <w:rsid w:val="5A2933F3"/>
    <w:rsid w:val="5A296BA4"/>
    <w:rsid w:val="5A2A4E35"/>
    <w:rsid w:val="5A2E216B"/>
    <w:rsid w:val="5A2E2EE0"/>
    <w:rsid w:val="5A2E68A2"/>
    <w:rsid w:val="5A324F2F"/>
    <w:rsid w:val="5A330F55"/>
    <w:rsid w:val="5A363F1B"/>
    <w:rsid w:val="5A3A018B"/>
    <w:rsid w:val="5A3D02EC"/>
    <w:rsid w:val="5A403EC0"/>
    <w:rsid w:val="5A453C37"/>
    <w:rsid w:val="5A46522B"/>
    <w:rsid w:val="5A475A66"/>
    <w:rsid w:val="5A487D96"/>
    <w:rsid w:val="5A490C43"/>
    <w:rsid w:val="5A4A14FF"/>
    <w:rsid w:val="5A4E53C1"/>
    <w:rsid w:val="5A577E1A"/>
    <w:rsid w:val="5A581238"/>
    <w:rsid w:val="5A611F85"/>
    <w:rsid w:val="5A695039"/>
    <w:rsid w:val="5A7931FF"/>
    <w:rsid w:val="5A7B5D2A"/>
    <w:rsid w:val="5A7C5C8E"/>
    <w:rsid w:val="5A846733"/>
    <w:rsid w:val="5A850CAF"/>
    <w:rsid w:val="5A863E70"/>
    <w:rsid w:val="5A865DA5"/>
    <w:rsid w:val="5A8A1BC5"/>
    <w:rsid w:val="5A8B1476"/>
    <w:rsid w:val="5A8B7D2A"/>
    <w:rsid w:val="5A8F2816"/>
    <w:rsid w:val="5A8F611C"/>
    <w:rsid w:val="5A9435DB"/>
    <w:rsid w:val="5A990E41"/>
    <w:rsid w:val="5A9A0FE8"/>
    <w:rsid w:val="5A9F02FB"/>
    <w:rsid w:val="5AA43684"/>
    <w:rsid w:val="5AA559CE"/>
    <w:rsid w:val="5AAA34C0"/>
    <w:rsid w:val="5AAB55EA"/>
    <w:rsid w:val="5AB126F6"/>
    <w:rsid w:val="5AB53AA7"/>
    <w:rsid w:val="5AB67515"/>
    <w:rsid w:val="5AC00AA4"/>
    <w:rsid w:val="5AC40E8C"/>
    <w:rsid w:val="5AD00DCE"/>
    <w:rsid w:val="5AD325D0"/>
    <w:rsid w:val="5AD41C53"/>
    <w:rsid w:val="5AD44CF9"/>
    <w:rsid w:val="5ADC15DD"/>
    <w:rsid w:val="5ADF593A"/>
    <w:rsid w:val="5AE1122D"/>
    <w:rsid w:val="5AE20B01"/>
    <w:rsid w:val="5AE27767"/>
    <w:rsid w:val="5AE42A3F"/>
    <w:rsid w:val="5AE67B05"/>
    <w:rsid w:val="5AE76118"/>
    <w:rsid w:val="5AEE18D3"/>
    <w:rsid w:val="5AF051AE"/>
    <w:rsid w:val="5AF15C4F"/>
    <w:rsid w:val="5B053441"/>
    <w:rsid w:val="5B06412C"/>
    <w:rsid w:val="5B1E5357"/>
    <w:rsid w:val="5B276D6A"/>
    <w:rsid w:val="5B2C2A27"/>
    <w:rsid w:val="5B2C2DE7"/>
    <w:rsid w:val="5B2D4136"/>
    <w:rsid w:val="5B2F0E73"/>
    <w:rsid w:val="5B357D53"/>
    <w:rsid w:val="5B362ACF"/>
    <w:rsid w:val="5B44114B"/>
    <w:rsid w:val="5B4731A5"/>
    <w:rsid w:val="5B47720D"/>
    <w:rsid w:val="5B4A70C5"/>
    <w:rsid w:val="5B4E787D"/>
    <w:rsid w:val="5B57504B"/>
    <w:rsid w:val="5B5B40D6"/>
    <w:rsid w:val="5B5C7C6F"/>
    <w:rsid w:val="5B5E63DA"/>
    <w:rsid w:val="5B615D51"/>
    <w:rsid w:val="5B641D3B"/>
    <w:rsid w:val="5B6677D2"/>
    <w:rsid w:val="5B687E54"/>
    <w:rsid w:val="5B6D72AF"/>
    <w:rsid w:val="5B6E376F"/>
    <w:rsid w:val="5B7026B9"/>
    <w:rsid w:val="5B7727A4"/>
    <w:rsid w:val="5B793214"/>
    <w:rsid w:val="5B793FE8"/>
    <w:rsid w:val="5B7E4CCE"/>
    <w:rsid w:val="5B820C41"/>
    <w:rsid w:val="5B847B46"/>
    <w:rsid w:val="5B8A3B64"/>
    <w:rsid w:val="5B902854"/>
    <w:rsid w:val="5B915BA3"/>
    <w:rsid w:val="5B9174AC"/>
    <w:rsid w:val="5B926E7D"/>
    <w:rsid w:val="5B944392"/>
    <w:rsid w:val="5B967274"/>
    <w:rsid w:val="5B9F773C"/>
    <w:rsid w:val="5BAA4BAB"/>
    <w:rsid w:val="5BAC3C62"/>
    <w:rsid w:val="5BB448FD"/>
    <w:rsid w:val="5BB727DD"/>
    <w:rsid w:val="5BB7644C"/>
    <w:rsid w:val="5BB968A9"/>
    <w:rsid w:val="5BBB7CD0"/>
    <w:rsid w:val="5BC24924"/>
    <w:rsid w:val="5BCB14B5"/>
    <w:rsid w:val="5BCD4A00"/>
    <w:rsid w:val="5BCD79E3"/>
    <w:rsid w:val="5BD408EC"/>
    <w:rsid w:val="5BD7474D"/>
    <w:rsid w:val="5BD92253"/>
    <w:rsid w:val="5BDC2291"/>
    <w:rsid w:val="5BE22F59"/>
    <w:rsid w:val="5BE4771A"/>
    <w:rsid w:val="5BE57D8E"/>
    <w:rsid w:val="5BEB3EC3"/>
    <w:rsid w:val="5BED287A"/>
    <w:rsid w:val="5BF129E5"/>
    <w:rsid w:val="5BF23E9A"/>
    <w:rsid w:val="5BF3058D"/>
    <w:rsid w:val="5BF530A5"/>
    <w:rsid w:val="5BF807DF"/>
    <w:rsid w:val="5BFA7026"/>
    <w:rsid w:val="5BFB258C"/>
    <w:rsid w:val="5BFE782E"/>
    <w:rsid w:val="5C0C7C99"/>
    <w:rsid w:val="5C0E07B4"/>
    <w:rsid w:val="5C165D8C"/>
    <w:rsid w:val="5C1A2683"/>
    <w:rsid w:val="5C20322A"/>
    <w:rsid w:val="5C2101D4"/>
    <w:rsid w:val="5C210AC2"/>
    <w:rsid w:val="5C296B8E"/>
    <w:rsid w:val="5C2D6F9D"/>
    <w:rsid w:val="5C3124FF"/>
    <w:rsid w:val="5C351BA6"/>
    <w:rsid w:val="5C36271B"/>
    <w:rsid w:val="5C3B4031"/>
    <w:rsid w:val="5C3B59D1"/>
    <w:rsid w:val="5C42170A"/>
    <w:rsid w:val="5C425CFC"/>
    <w:rsid w:val="5C440B15"/>
    <w:rsid w:val="5C443A16"/>
    <w:rsid w:val="5C463805"/>
    <w:rsid w:val="5C465920"/>
    <w:rsid w:val="5C4919C4"/>
    <w:rsid w:val="5C4A1B66"/>
    <w:rsid w:val="5C4B3879"/>
    <w:rsid w:val="5C4B6800"/>
    <w:rsid w:val="5C4C530A"/>
    <w:rsid w:val="5C4F40A1"/>
    <w:rsid w:val="5C5B1B7A"/>
    <w:rsid w:val="5C6D1AB5"/>
    <w:rsid w:val="5C774C50"/>
    <w:rsid w:val="5C7F5C3D"/>
    <w:rsid w:val="5C815DF8"/>
    <w:rsid w:val="5C82259C"/>
    <w:rsid w:val="5C824B5F"/>
    <w:rsid w:val="5C835DFA"/>
    <w:rsid w:val="5C8B63AD"/>
    <w:rsid w:val="5C8D5567"/>
    <w:rsid w:val="5C8D7622"/>
    <w:rsid w:val="5C8F0D4E"/>
    <w:rsid w:val="5C90556E"/>
    <w:rsid w:val="5C907CC8"/>
    <w:rsid w:val="5C936557"/>
    <w:rsid w:val="5C966047"/>
    <w:rsid w:val="5C97642D"/>
    <w:rsid w:val="5C9E19DB"/>
    <w:rsid w:val="5CA7065C"/>
    <w:rsid w:val="5CA72527"/>
    <w:rsid w:val="5CA72AFA"/>
    <w:rsid w:val="5CAA4443"/>
    <w:rsid w:val="5CAD6557"/>
    <w:rsid w:val="5CB00EB7"/>
    <w:rsid w:val="5CB55044"/>
    <w:rsid w:val="5CB757EE"/>
    <w:rsid w:val="5CBA029E"/>
    <w:rsid w:val="5CC073FA"/>
    <w:rsid w:val="5CDE2C23"/>
    <w:rsid w:val="5CE133F7"/>
    <w:rsid w:val="5CE35A85"/>
    <w:rsid w:val="5CEF568B"/>
    <w:rsid w:val="5CF06E50"/>
    <w:rsid w:val="5CF07506"/>
    <w:rsid w:val="5CF1137C"/>
    <w:rsid w:val="5CF1327E"/>
    <w:rsid w:val="5CF7423A"/>
    <w:rsid w:val="5CF77FDE"/>
    <w:rsid w:val="5D0733C3"/>
    <w:rsid w:val="5D1605A8"/>
    <w:rsid w:val="5D175B37"/>
    <w:rsid w:val="5D186A5C"/>
    <w:rsid w:val="5D1A7137"/>
    <w:rsid w:val="5D1C6604"/>
    <w:rsid w:val="5D2213D0"/>
    <w:rsid w:val="5D233099"/>
    <w:rsid w:val="5D2A7508"/>
    <w:rsid w:val="5D30024A"/>
    <w:rsid w:val="5D40714C"/>
    <w:rsid w:val="5D4311CB"/>
    <w:rsid w:val="5D433DC6"/>
    <w:rsid w:val="5D4930D8"/>
    <w:rsid w:val="5D50341B"/>
    <w:rsid w:val="5D505750"/>
    <w:rsid w:val="5D536A04"/>
    <w:rsid w:val="5D556339"/>
    <w:rsid w:val="5D5F5984"/>
    <w:rsid w:val="5D622D00"/>
    <w:rsid w:val="5D623A5E"/>
    <w:rsid w:val="5D681B24"/>
    <w:rsid w:val="5D692938"/>
    <w:rsid w:val="5D6B7843"/>
    <w:rsid w:val="5D6D30FC"/>
    <w:rsid w:val="5D6E4A8B"/>
    <w:rsid w:val="5D7D39AF"/>
    <w:rsid w:val="5D7E3B83"/>
    <w:rsid w:val="5D8C3366"/>
    <w:rsid w:val="5D8E3864"/>
    <w:rsid w:val="5D936291"/>
    <w:rsid w:val="5D9F7A81"/>
    <w:rsid w:val="5DA573DD"/>
    <w:rsid w:val="5DA9766A"/>
    <w:rsid w:val="5DAC35B8"/>
    <w:rsid w:val="5DAE7467"/>
    <w:rsid w:val="5DB21192"/>
    <w:rsid w:val="5DB718DF"/>
    <w:rsid w:val="5DBB3FB7"/>
    <w:rsid w:val="5DBE3438"/>
    <w:rsid w:val="5DCD08B1"/>
    <w:rsid w:val="5DCD3319"/>
    <w:rsid w:val="5DCF595C"/>
    <w:rsid w:val="5DD0743F"/>
    <w:rsid w:val="5DD714F5"/>
    <w:rsid w:val="5DE0757A"/>
    <w:rsid w:val="5DE37177"/>
    <w:rsid w:val="5DE43922"/>
    <w:rsid w:val="5DEB1391"/>
    <w:rsid w:val="5DF528A2"/>
    <w:rsid w:val="5DF64CC5"/>
    <w:rsid w:val="5DF66AA3"/>
    <w:rsid w:val="5E0462B1"/>
    <w:rsid w:val="5E055901"/>
    <w:rsid w:val="5E060A3E"/>
    <w:rsid w:val="5E060FFF"/>
    <w:rsid w:val="5E0B1929"/>
    <w:rsid w:val="5E0C27AA"/>
    <w:rsid w:val="5E10642C"/>
    <w:rsid w:val="5E1221B8"/>
    <w:rsid w:val="5E146D02"/>
    <w:rsid w:val="5E2222AD"/>
    <w:rsid w:val="5E2D180C"/>
    <w:rsid w:val="5E2D1C64"/>
    <w:rsid w:val="5E323B4E"/>
    <w:rsid w:val="5E3E3025"/>
    <w:rsid w:val="5E420235"/>
    <w:rsid w:val="5E4D1CFF"/>
    <w:rsid w:val="5E4D2736"/>
    <w:rsid w:val="5E564D11"/>
    <w:rsid w:val="5E5938F6"/>
    <w:rsid w:val="5E657DC3"/>
    <w:rsid w:val="5E662F2B"/>
    <w:rsid w:val="5E6B39C5"/>
    <w:rsid w:val="5E7E37E8"/>
    <w:rsid w:val="5E830591"/>
    <w:rsid w:val="5E8C2B2B"/>
    <w:rsid w:val="5E9F6B91"/>
    <w:rsid w:val="5EA92CDC"/>
    <w:rsid w:val="5EB47DBF"/>
    <w:rsid w:val="5EB65581"/>
    <w:rsid w:val="5EB669A8"/>
    <w:rsid w:val="5EB800B2"/>
    <w:rsid w:val="5EB8388D"/>
    <w:rsid w:val="5EBD7F4A"/>
    <w:rsid w:val="5EC7073A"/>
    <w:rsid w:val="5EC7698C"/>
    <w:rsid w:val="5ECD506D"/>
    <w:rsid w:val="5ECE32D0"/>
    <w:rsid w:val="5ED40CB6"/>
    <w:rsid w:val="5ED55D65"/>
    <w:rsid w:val="5ED72DF9"/>
    <w:rsid w:val="5EDF76F8"/>
    <w:rsid w:val="5EE0404D"/>
    <w:rsid w:val="5EE409E6"/>
    <w:rsid w:val="5EE42C34"/>
    <w:rsid w:val="5EE86D83"/>
    <w:rsid w:val="5EF01020"/>
    <w:rsid w:val="5EF57055"/>
    <w:rsid w:val="5EFB4A3A"/>
    <w:rsid w:val="5EFD5EFE"/>
    <w:rsid w:val="5F004B07"/>
    <w:rsid w:val="5F0B2FEB"/>
    <w:rsid w:val="5F0C6456"/>
    <w:rsid w:val="5F0E188A"/>
    <w:rsid w:val="5F123F77"/>
    <w:rsid w:val="5F163B58"/>
    <w:rsid w:val="5F184E59"/>
    <w:rsid w:val="5F1871E8"/>
    <w:rsid w:val="5F192BF6"/>
    <w:rsid w:val="5F1D628F"/>
    <w:rsid w:val="5F217034"/>
    <w:rsid w:val="5F223BC2"/>
    <w:rsid w:val="5F227439"/>
    <w:rsid w:val="5F2B049E"/>
    <w:rsid w:val="5F2C3F55"/>
    <w:rsid w:val="5F2D2C93"/>
    <w:rsid w:val="5F2E6ABA"/>
    <w:rsid w:val="5F3150BB"/>
    <w:rsid w:val="5F322D7A"/>
    <w:rsid w:val="5F35083A"/>
    <w:rsid w:val="5F397097"/>
    <w:rsid w:val="5F3A668E"/>
    <w:rsid w:val="5F3B787A"/>
    <w:rsid w:val="5F3C15FE"/>
    <w:rsid w:val="5F3D0598"/>
    <w:rsid w:val="5F3E4BC0"/>
    <w:rsid w:val="5F414186"/>
    <w:rsid w:val="5F477408"/>
    <w:rsid w:val="5F5107D3"/>
    <w:rsid w:val="5F524A7E"/>
    <w:rsid w:val="5F5B48A6"/>
    <w:rsid w:val="5F5B7FF9"/>
    <w:rsid w:val="5F5E0372"/>
    <w:rsid w:val="5F614740"/>
    <w:rsid w:val="5F6245CB"/>
    <w:rsid w:val="5F750196"/>
    <w:rsid w:val="5F7E0954"/>
    <w:rsid w:val="5F7F7EE4"/>
    <w:rsid w:val="5F85434E"/>
    <w:rsid w:val="5F896B74"/>
    <w:rsid w:val="5F917681"/>
    <w:rsid w:val="5F940845"/>
    <w:rsid w:val="5FA13F33"/>
    <w:rsid w:val="5FA90345"/>
    <w:rsid w:val="5FBA6A21"/>
    <w:rsid w:val="5FBB3479"/>
    <w:rsid w:val="5FC058CE"/>
    <w:rsid w:val="5FC230F8"/>
    <w:rsid w:val="5FC37A96"/>
    <w:rsid w:val="5FD7038B"/>
    <w:rsid w:val="5FD83C98"/>
    <w:rsid w:val="5FD87F7C"/>
    <w:rsid w:val="5FDA21C6"/>
    <w:rsid w:val="5FDA449D"/>
    <w:rsid w:val="5FDB304D"/>
    <w:rsid w:val="5FE01AB3"/>
    <w:rsid w:val="5FEC105E"/>
    <w:rsid w:val="5FED53EA"/>
    <w:rsid w:val="5FF67AD7"/>
    <w:rsid w:val="5FFA48FB"/>
    <w:rsid w:val="5FFD6177"/>
    <w:rsid w:val="5FFD70E6"/>
    <w:rsid w:val="5FFF4D8D"/>
    <w:rsid w:val="600268F3"/>
    <w:rsid w:val="60031C46"/>
    <w:rsid w:val="60093249"/>
    <w:rsid w:val="600C1794"/>
    <w:rsid w:val="60195632"/>
    <w:rsid w:val="601F0D78"/>
    <w:rsid w:val="60203B09"/>
    <w:rsid w:val="60241761"/>
    <w:rsid w:val="60270A0A"/>
    <w:rsid w:val="602C5231"/>
    <w:rsid w:val="60300933"/>
    <w:rsid w:val="60360544"/>
    <w:rsid w:val="60375AC8"/>
    <w:rsid w:val="604015A9"/>
    <w:rsid w:val="60474C4A"/>
    <w:rsid w:val="604E403B"/>
    <w:rsid w:val="60545FFD"/>
    <w:rsid w:val="605525D3"/>
    <w:rsid w:val="605E5A86"/>
    <w:rsid w:val="605F1AC1"/>
    <w:rsid w:val="60636658"/>
    <w:rsid w:val="60682C32"/>
    <w:rsid w:val="606A29E4"/>
    <w:rsid w:val="606F372E"/>
    <w:rsid w:val="60722469"/>
    <w:rsid w:val="60730770"/>
    <w:rsid w:val="6074044E"/>
    <w:rsid w:val="60774435"/>
    <w:rsid w:val="607B4BEC"/>
    <w:rsid w:val="607B5C80"/>
    <w:rsid w:val="60806F42"/>
    <w:rsid w:val="60814297"/>
    <w:rsid w:val="60855D52"/>
    <w:rsid w:val="60870181"/>
    <w:rsid w:val="608C2383"/>
    <w:rsid w:val="609770A7"/>
    <w:rsid w:val="60987D01"/>
    <w:rsid w:val="609A11FA"/>
    <w:rsid w:val="60A60F4E"/>
    <w:rsid w:val="60A62E90"/>
    <w:rsid w:val="60A71D24"/>
    <w:rsid w:val="60AA06CA"/>
    <w:rsid w:val="60AB1FDD"/>
    <w:rsid w:val="60AC4B96"/>
    <w:rsid w:val="60AE7986"/>
    <w:rsid w:val="60B5077F"/>
    <w:rsid w:val="60B6083C"/>
    <w:rsid w:val="60B72D34"/>
    <w:rsid w:val="60B81022"/>
    <w:rsid w:val="60B847DE"/>
    <w:rsid w:val="60BE193F"/>
    <w:rsid w:val="60BE1B69"/>
    <w:rsid w:val="60BF32C5"/>
    <w:rsid w:val="60C11EE0"/>
    <w:rsid w:val="60C1572C"/>
    <w:rsid w:val="60CC164C"/>
    <w:rsid w:val="60CC383E"/>
    <w:rsid w:val="60D12806"/>
    <w:rsid w:val="60D25CE0"/>
    <w:rsid w:val="60D51CD3"/>
    <w:rsid w:val="60E549EE"/>
    <w:rsid w:val="60E71077"/>
    <w:rsid w:val="60EA4E32"/>
    <w:rsid w:val="60F75581"/>
    <w:rsid w:val="60FE5569"/>
    <w:rsid w:val="60FE71C1"/>
    <w:rsid w:val="60FF1F0A"/>
    <w:rsid w:val="61010162"/>
    <w:rsid w:val="610712C2"/>
    <w:rsid w:val="61287B59"/>
    <w:rsid w:val="612D0033"/>
    <w:rsid w:val="6131199B"/>
    <w:rsid w:val="613D7708"/>
    <w:rsid w:val="614739AE"/>
    <w:rsid w:val="614834BF"/>
    <w:rsid w:val="614F54D8"/>
    <w:rsid w:val="61545EBB"/>
    <w:rsid w:val="616D0310"/>
    <w:rsid w:val="616D20A9"/>
    <w:rsid w:val="616D76C7"/>
    <w:rsid w:val="617007D8"/>
    <w:rsid w:val="617808A4"/>
    <w:rsid w:val="617A1A94"/>
    <w:rsid w:val="617D1156"/>
    <w:rsid w:val="618164DD"/>
    <w:rsid w:val="61895BA8"/>
    <w:rsid w:val="61922261"/>
    <w:rsid w:val="61A21CE1"/>
    <w:rsid w:val="61A601C2"/>
    <w:rsid w:val="61AE73A8"/>
    <w:rsid w:val="61B954E1"/>
    <w:rsid w:val="61BA1B95"/>
    <w:rsid w:val="61BC3DC5"/>
    <w:rsid w:val="61CB0E49"/>
    <w:rsid w:val="61CB3178"/>
    <w:rsid w:val="61D00876"/>
    <w:rsid w:val="61D01430"/>
    <w:rsid w:val="61D05B58"/>
    <w:rsid w:val="61D15407"/>
    <w:rsid w:val="61D41488"/>
    <w:rsid w:val="61DB015D"/>
    <w:rsid w:val="61DB2D5A"/>
    <w:rsid w:val="61DF4FB7"/>
    <w:rsid w:val="61E053ED"/>
    <w:rsid w:val="61E21693"/>
    <w:rsid w:val="61FE608A"/>
    <w:rsid w:val="620D4B46"/>
    <w:rsid w:val="620E4D81"/>
    <w:rsid w:val="620F6680"/>
    <w:rsid w:val="62101D2C"/>
    <w:rsid w:val="62113008"/>
    <w:rsid w:val="6212498C"/>
    <w:rsid w:val="62127F1E"/>
    <w:rsid w:val="621B3DE0"/>
    <w:rsid w:val="621D20A0"/>
    <w:rsid w:val="621E166E"/>
    <w:rsid w:val="622275AD"/>
    <w:rsid w:val="6224324A"/>
    <w:rsid w:val="622774D3"/>
    <w:rsid w:val="622B306E"/>
    <w:rsid w:val="623115F2"/>
    <w:rsid w:val="62321C4F"/>
    <w:rsid w:val="62367814"/>
    <w:rsid w:val="62384D46"/>
    <w:rsid w:val="6239071E"/>
    <w:rsid w:val="623D6E87"/>
    <w:rsid w:val="623F140B"/>
    <w:rsid w:val="62417DFD"/>
    <w:rsid w:val="62503B3B"/>
    <w:rsid w:val="62514446"/>
    <w:rsid w:val="62530424"/>
    <w:rsid w:val="62594173"/>
    <w:rsid w:val="625A2A62"/>
    <w:rsid w:val="626064BE"/>
    <w:rsid w:val="626369CC"/>
    <w:rsid w:val="626872CB"/>
    <w:rsid w:val="627525F9"/>
    <w:rsid w:val="627E0E78"/>
    <w:rsid w:val="62826A8B"/>
    <w:rsid w:val="628478A8"/>
    <w:rsid w:val="62854F21"/>
    <w:rsid w:val="628864B6"/>
    <w:rsid w:val="628E3AEC"/>
    <w:rsid w:val="62934062"/>
    <w:rsid w:val="62935566"/>
    <w:rsid w:val="62A02F06"/>
    <w:rsid w:val="62A80882"/>
    <w:rsid w:val="62AA6C83"/>
    <w:rsid w:val="62B2215A"/>
    <w:rsid w:val="62B562F2"/>
    <w:rsid w:val="62BA12F7"/>
    <w:rsid w:val="62BD2A68"/>
    <w:rsid w:val="62C03A1A"/>
    <w:rsid w:val="62C14327"/>
    <w:rsid w:val="62C174B5"/>
    <w:rsid w:val="62C30EA5"/>
    <w:rsid w:val="62CF7F23"/>
    <w:rsid w:val="62D9703C"/>
    <w:rsid w:val="62DA4EE0"/>
    <w:rsid w:val="62DC0441"/>
    <w:rsid w:val="62DC54B1"/>
    <w:rsid w:val="62DD702F"/>
    <w:rsid w:val="62E10335"/>
    <w:rsid w:val="62E85A4E"/>
    <w:rsid w:val="62EA62A5"/>
    <w:rsid w:val="62F023B0"/>
    <w:rsid w:val="62F368D4"/>
    <w:rsid w:val="62F41808"/>
    <w:rsid w:val="62F53FC0"/>
    <w:rsid w:val="62F6763D"/>
    <w:rsid w:val="62FF66F4"/>
    <w:rsid w:val="6309424E"/>
    <w:rsid w:val="630A04CF"/>
    <w:rsid w:val="631453E6"/>
    <w:rsid w:val="631E2AB5"/>
    <w:rsid w:val="63210F8E"/>
    <w:rsid w:val="63220635"/>
    <w:rsid w:val="63224CB8"/>
    <w:rsid w:val="63253C81"/>
    <w:rsid w:val="632572D6"/>
    <w:rsid w:val="63271D8E"/>
    <w:rsid w:val="633435FA"/>
    <w:rsid w:val="633769A9"/>
    <w:rsid w:val="6338539C"/>
    <w:rsid w:val="63386AB9"/>
    <w:rsid w:val="633B78D2"/>
    <w:rsid w:val="633B79C7"/>
    <w:rsid w:val="633C4555"/>
    <w:rsid w:val="633D5AF8"/>
    <w:rsid w:val="633F11E7"/>
    <w:rsid w:val="63432577"/>
    <w:rsid w:val="6345154A"/>
    <w:rsid w:val="634F252F"/>
    <w:rsid w:val="63503D02"/>
    <w:rsid w:val="635157DE"/>
    <w:rsid w:val="63587868"/>
    <w:rsid w:val="635C3B47"/>
    <w:rsid w:val="63611AD8"/>
    <w:rsid w:val="636158E3"/>
    <w:rsid w:val="63624ED5"/>
    <w:rsid w:val="636A4606"/>
    <w:rsid w:val="63725BF3"/>
    <w:rsid w:val="63787B62"/>
    <w:rsid w:val="63793901"/>
    <w:rsid w:val="63795878"/>
    <w:rsid w:val="637D02BA"/>
    <w:rsid w:val="6380236D"/>
    <w:rsid w:val="6380715B"/>
    <w:rsid w:val="63820152"/>
    <w:rsid w:val="6382317D"/>
    <w:rsid w:val="63844576"/>
    <w:rsid w:val="638B1FF6"/>
    <w:rsid w:val="638C36DD"/>
    <w:rsid w:val="63916C5D"/>
    <w:rsid w:val="63995268"/>
    <w:rsid w:val="639A466F"/>
    <w:rsid w:val="63A454EE"/>
    <w:rsid w:val="63A53E6E"/>
    <w:rsid w:val="63A73462"/>
    <w:rsid w:val="63A77BB3"/>
    <w:rsid w:val="63B435DA"/>
    <w:rsid w:val="63B50FE3"/>
    <w:rsid w:val="63B52C43"/>
    <w:rsid w:val="63B8149B"/>
    <w:rsid w:val="63B87698"/>
    <w:rsid w:val="63BE3EFE"/>
    <w:rsid w:val="63BE7EA8"/>
    <w:rsid w:val="63C566EE"/>
    <w:rsid w:val="63C82B0D"/>
    <w:rsid w:val="63C83FAF"/>
    <w:rsid w:val="63CF30E7"/>
    <w:rsid w:val="63D340C2"/>
    <w:rsid w:val="63DD1188"/>
    <w:rsid w:val="63E25DC4"/>
    <w:rsid w:val="63E44662"/>
    <w:rsid w:val="63EB4D88"/>
    <w:rsid w:val="63F2312C"/>
    <w:rsid w:val="63F329E5"/>
    <w:rsid w:val="63F7264C"/>
    <w:rsid w:val="63F7386F"/>
    <w:rsid w:val="63F73C3D"/>
    <w:rsid w:val="63FA00D0"/>
    <w:rsid w:val="63FC5F70"/>
    <w:rsid w:val="64056542"/>
    <w:rsid w:val="640A72D4"/>
    <w:rsid w:val="640B3482"/>
    <w:rsid w:val="640E47F6"/>
    <w:rsid w:val="64144421"/>
    <w:rsid w:val="64180BA9"/>
    <w:rsid w:val="641B644C"/>
    <w:rsid w:val="64250C01"/>
    <w:rsid w:val="6428111A"/>
    <w:rsid w:val="6429154F"/>
    <w:rsid w:val="642A0D74"/>
    <w:rsid w:val="642A1996"/>
    <w:rsid w:val="642D7920"/>
    <w:rsid w:val="642D7D92"/>
    <w:rsid w:val="642F16A2"/>
    <w:rsid w:val="642F3009"/>
    <w:rsid w:val="6437732C"/>
    <w:rsid w:val="6438691D"/>
    <w:rsid w:val="64454D4E"/>
    <w:rsid w:val="64472A00"/>
    <w:rsid w:val="64474CB6"/>
    <w:rsid w:val="64482064"/>
    <w:rsid w:val="644B55EB"/>
    <w:rsid w:val="644C17D9"/>
    <w:rsid w:val="644D3410"/>
    <w:rsid w:val="64504D2E"/>
    <w:rsid w:val="64505E8C"/>
    <w:rsid w:val="645C5555"/>
    <w:rsid w:val="646B7321"/>
    <w:rsid w:val="64732D33"/>
    <w:rsid w:val="647A293F"/>
    <w:rsid w:val="64821CC5"/>
    <w:rsid w:val="64862709"/>
    <w:rsid w:val="648657F6"/>
    <w:rsid w:val="648861A2"/>
    <w:rsid w:val="64891E6F"/>
    <w:rsid w:val="649326E7"/>
    <w:rsid w:val="649755B8"/>
    <w:rsid w:val="649F1A9A"/>
    <w:rsid w:val="64A61724"/>
    <w:rsid w:val="64A8520B"/>
    <w:rsid w:val="64AB2B7A"/>
    <w:rsid w:val="64BE670D"/>
    <w:rsid w:val="64C367E6"/>
    <w:rsid w:val="64C37510"/>
    <w:rsid w:val="64C5202F"/>
    <w:rsid w:val="64C5571C"/>
    <w:rsid w:val="64C574CA"/>
    <w:rsid w:val="64DD0A04"/>
    <w:rsid w:val="64DE4CA7"/>
    <w:rsid w:val="64E262CE"/>
    <w:rsid w:val="64E5734F"/>
    <w:rsid w:val="64E62DF8"/>
    <w:rsid w:val="64EB6BC1"/>
    <w:rsid w:val="64EF1B3C"/>
    <w:rsid w:val="64F41B5D"/>
    <w:rsid w:val="64F63B27"/>
    <w:rsid w:val="64F65B9E"/>
    <w:rsid w:val="64FB3472"/>
    <w:rsid w:val="64FF5507"/>
    <w:rsid w:val="65062944"/>
    <w:rsid w:val="650C7E08"/>
    <w:rsid w:val="650F2CCD"/>
    <w:rsid w:val="65105F1B"/>
    <w:rsid w:val="651273E1"/>
    <w:rsid w:val="651D2FA6"/>
    <w:rsid w:val="651D7306"/>
    <w:rsid w:val="651E077C"/>
    <w:rsid w:val="651E6E08"/>
    <w:rsid w:val="65203CDE"/>
    <w:rsid w:val="652270D3"/>
    <w:rsid w:val="652317C0"/>
    <w:rsid w:val="65257EF3"/>
    <w:rsid w:val="6527598C"/>
    <w:rsid w:val="652954A1"/>
    <w:rsid w:val="652B1330"/>
    <w:rsid w:val="652B2353"/>
    <w:rsid w:val="652D3E78"/>
    <w:rsid w:val="65321902"/>
    <w:rsid w:val="653528A1"/>
    <w:rsid w:val="65362175"/>
    <w:rsid w:val="653C464A"/>
    <w:rsid w:val="654B61E6"/>
    <w:rsid w:val="654C3437"/>
    <w:rsid w:val="654E3963"/>
    <w:rsid w:val="654F29B9"/>
    <w:rsid w:val="65526DF7"/>
    <w:rsid w:val="65584B61"/>
    <w:rsid w:val="656047C8"/>
    <w:rsid w:val="656112B2"/>
    <w:rsid w:val="65630E5E"/>
    <w:rsid w:val="65680DE6"/>
    <w:rsid w:val="6568638D"/>
    <w:rsid w:val="656930F6"/>
    <w:rsid w:val="656E36EF"/>
    <w:rsid w:val="65732E61"/>
    <w:rsid w:val="65743BF9"/>
    <w:rsid w:val="657A74F8"/>
    <w:rsid w:val="65833DCA"/>
    <w:rsid w:val="65894802"/>
    <w:rsid w:val="658F2B3F"/>
    <w:rsid w:val="65913850"/>
    <w:rsid w:val="65915AA5"/>
    <w:rsid w:val="6592209F"/>
    <w:rsid w:val="65931376"/>
    <w:rsid w:val="65982776"/>
    <w:rsid w:val="659A39AE"/>
    <w:rsid w:val="659C31E6"/>
    <w:rsid w:val="65A13A93"/>
    <w:rsid w:val="65A80A7D"/>
    <w:rsid w:val="65AA3615"/>
    <w:rsid w:val="65AD7506"/>
    <w:rsid w:val="65B05178"/>
    <w:rsid w:val="65B91947"/>
    <w:rsid w:val="65BB4026"/>
    <w:rsid w:val="65BC4E74"/>
    <w:rsid w:val="65C0453D"/>
    <w:rsid w:val="65C7493D"/>
    <w:rsid w:val="65CC3812"/>
    <w:rsid w:val="65D0454D"/>
    <w:rsid w:val="65E07311"/>
    <w:rsid w:val="65E224B9"/>
    <w:rsid w:val="65E240AB"/>
    <w:rsid w:val="65E51F19"/>
    <w:rsid w:val="65E63C98"/>
    <w:rsid w:val="65E6636D"/>
    <w:rsid w:val="65E707E9"/>
    <w:rsid w:val="65E9543A"/>
    <w:rsid w:val="65EA490A"/>
    <w:rsid w:val="65EB5204"/>
    <w:rsid w:val="65ED3992"/>
    <w:rsid w:val="65EE16AB"/>
    <w:rsid w:val="65F539E0"/>
    <w:rsid w:val="65F53DDF"/>
    <w:rsid w:val="65F91915"/>
    <w:rsid w:val="65FA7647"/>
    <w:rsid w:val="65FB38CA"/>
    <w:rsid w:val="65FE1115"/>
    <w:rsid w:val="65FF1BF2"/>
    <w:rsid w:val="66061B48"/>
    <w:rsid w:val="66075B26"/>
    <w:rsid w:val="660A115A"/>
    <w:rsid w:val="660C584D"/>
    <w:rsid w:val="660F77DF"/>
    <w:rsid w:val="661204ED"/>
    <w:rsid w:val="66123B63"/>
    <w:rsid w:val="66127A2B"/>
    <w:rsid w:val="66143F99"/>
    <w:rsid w:val="66183A37"/>
    <w:rsid w:val="661A6682"/>
    <w:rsid w:val="661F7413"/>
    <w:rsid w:val="6628689C"/>
    <w:rsid w:val="662966D5"/>
    <w:rsid w:val="662F1DEF"/>
    <w:rsid w:val="663219AD"/>
    <w:rsid w:val="66326DE1"/>
    <w:rsid w:val="663354DF"/>
    <w:rsid w:val="66365EC4"/>
    <w:rsid w:val="663B22BC"/>
    <w:rsid w:val="664247DE"/>
    <w:rsid w:val="66430FEE"/>
    <w:rsid w:val="664C39A6"/>
    <w:rsid w:val="664F253F"/>
    <w:rsid w:val="664F4C0C"/>
    <w:rsid w:val="66501E87"/>
    <w:rsid w:val="665159E8"/>
    <w:rsid w:val="66535D12"/>
    <w:rsid w:val="66557245"/>
    <w:rsid w:val="66576D04"/>
    <w:rsid w:val="666E2ABC"/>
    <w:rsid w:val="66772F2A"/>
    <w:rsid w:val="667D2BAB"/>
    <w:rsid w:val="667E47DF"/>
    <w:rsid w:val="667E6930"/>
    <w:rsid w:val="667F5C49"/>
    <w:rsid w:val="66833198"/>
    <w:rsid w:val="66843782"/>
    <w:rsid w:val="668659DE"/>
    <w:rsid w:val="66896A7E"/>
    <w:rsid w:val="66934856"/>
    <w:rsid w:val="66970803"/>
    <w:rsid w:val="66990FA5"/>
    <w:rsid w:val="669D154B"/>
    <w:rsid w:val="669D560D"/>
    <w:rsid w:val="669F01AA"/>
    <w:rsid w:val="66A366B0"/>
    <w:rsid w:val="66A52D69"/>
    <w:rsid w:val="66A82BFF"/>
    <w:rsid w:val="66A879F0"/>
    <w:rsid w:val="66AA4B4D"/>
    <w:rsid w:val="66AA7D52"/>
    <w:rsid w:val="66B216F8"/>
    <w:rsid w:val="66C128E3"/>
    <w:rsid w:val="66C34A9F"/>
    <w:rsid w:val="66C56152"/>
    <w:rsid w:val="66C66169"/>
    <w:rsid w:val="66C9259C"/>
    <w:rsid w:val="66C95453"/>
    <w:rsid w:val="66D0060B"/>
    <w:rsid w:val="66D03EFD"/>
    <w:rsid w:val="66D32537"/>
    <w:rsid w:val="66D948C1"/>
    <w:rsid w:val="66E20036"/>
    <w:rsid w:val="66E2325F"/>
    <w:rsid w:val="66E4671B"/>
    <w:rsid w:val="66E61333"/>
    <w:rsid w:val="66E620CA"/>
    <w:rsid w:val="66E660D8"/>
    <w:rsid w:val="66E9422C"/>
    <w:rsid w:val="66ED3973"/>
    <w:rsid w:val="66F7642B"/>
    <w:rsid w:val="67073DC9"/>
    <w:rsid w:val="670B762A"/>
    <w:rsid w:val="670E183C"/>
    <w:rsid w:val="6710469D"/>
    <w:rsid w:val="671923EE"/>
    <w:rsid w:val="671A3E83"/>
    <w:rsid w:val="67204025"/>
    <w:rsid w:val="672824B9"/>
    <w:rsid w:val="672C74E9"/>
    <w:rsid w:val="672F7F63"/>
    <w:rsid w:val="673A36BF"/>
    <w:rsid w:val="673A79F7"/>
    <w:rsid w:val="673E5311"/>
    <w:rsid w:val="67420D8F"/>
    <w:rsid w:val="67466207"/>
    <w:rsid w:val="6747066A"/>
    <w:rsid w:val="674C6CC8"/>
    <w:rsid w:val="674F407F"/>
    <w:rsid w:val="675017A6"/>
    <w:rsid w:val="675830A5"/>
    <w:rsid w:val="675E7BF7"/>
    <w:rsid w:val="67602681"/>
    <w:rsid w:val="6760370A"/>
    <w:rsid w:val="67651BB8"/>
    <w:rsid w:val="676B07FC"/>
    <w:rsid w:val="677157E3"/>
    <w:rsid w:val="677470D9"/>
    <w:rsid w:val="67786AD3"/>
    <w:rsid w:val="67787F04"/>
    <w:rsid w:val="677F1BD8"/>
    <w:rsid w:val="677F2008"/>
    <w:rsid w:val="678C288C"/>
    <w:rsid w:val="6791430F"/>
    <w:rsid w:val="679E1717"/>
    <w:rsid w:val="67A325DE"/>
    <w:rsid w:val="67A805F4"/>
    <w:rsid w:val="67AB5C2E"/>
    <w:rsid w:val="67AE693B"/>
    <w:rsid w:val="67B26BC3"/>
    <w:rsid w:val="67B30841"/>
    <w:rsid w:val="67B6319F"/>
    <w:rsid w:val="67B67857"/>
    <w:rsid w:val="67B84189"/>
    <w:rsid w:val="67BD5B86"/>
    <w:rsid w:val="67C027AB"/>
    <w:rsid w:val="67C3401C"/>
    <w:rsid w:val="67CC3A86"/>
    <w:rsid w:val="67D01445"/>
    <w:rsid w:val="67D02192"/>
    <w:rsid w:val="67D0550B"/>
    <w:rsid w:val="67DB0933"/>
    <w:rsid w:val="67E01F31"/>
    <w:rsid w:val="67E04DE4"/>
    <w:rsid w:val="67E05680"/>
    <w:rsid w:val="67E44C18"/>
    <w:rsid w:val="67E60DC4"/>
    <w:rsid w:val="67E816B3"/>
    <w:rsid w:val="67ED4770"/>
    <w:rsid w:val="67F06F79"/>
    <w:rsid w:val="67F22E87"/>
    <w:rsid w:val="67F30124"/>
    <w:rsid w:val="67F54F2F"/>
    <w:rsid w:val="67F73E3E"/>
    <w:rsid w:val="67F802A9"/>
    <w:rsid w:val="67FF5ECD"/>
    <w:rsid w:val="6803518B"/>
    <w:rsid w:val="680541C7"/>
    <w:rsid w:val="680B573E"/>
    <w:rsid w:val="680D25DC"/>
    <w:rsid w:val="681124BD"/>
    <w:rsid w:val="68164641"/>
    <w:rsid w:val="681C6933"/>
    <w:rsid w:val="681E3D85"/>
    <w:rsid w:val="681E6F1D"/>
    <w:rsid w:val="68242B7C"/>
    <w:rsid w:val="682974E7"/>
    <w:rsid w:val="68327B57"/>
    <w:rsid w:val="68353276"/>
    <w:rsid w:val="68357429"/>
    <w:rsid w:val="68364C9B"/>
    <w:rsid w:val="68386803"/>
    <w:rsid w:val="68430937"/>
    <w:rsid w:val="684A2A75"/>
    <w:rsid w:val="684C450D"/>
    <w:rsid w:val="684E5A28"/>
    <w:rsid w:val="68511E91"/>
    <w:rsid w:val="685D35EB"/>
    <w:rsid w:val="685E20B6"/>
    <w:rsid w:val="68603D8A"/>
    <w:rsid w:val="68667B57"/>
    <w:rsid w:val="687E4CBE"/>
    <w:rsid w:val="68803FD8"/>
    <w:rsid w:val="68875199"/>
    <w:rsid w:val="688A5B56"/>
    <w:rsid w:val="688B7359"/>
    <w:rsid w:val="688D1418"/>
    <w:rsid w:val="688E6DAB"/>
    <w:rsid w:val="6890591D"/>
    <w:rsid w:val="6893271C"/>
    <w:rsid w:val="689756FB"/>
    <w:rsid w:val="68A11523"/>
    <w:rsid w:val="68A23D9C"/>
    <w:rsid w:val="68A267D0"/>
    <w:rsid w:val="68B20235"/>
    <w:rsid w:val="68B7286E"/>
    <w:rsid w:val="68B93B81"/>
    <w:rsid w:val="68BE6B02"/>
    <w:rsid w:val="68C80A18"/>
    <w:rsid w:val="68C83272"/>
    <w:rsid w:val="68C852CC"/>
    <w:rsid w:val="68CF1ED4"/>
    <w:rsid w:val="68CF31CA"/>
    <w:rsid w:val="68D86C49"/>
    <w:rsid w:val="68E11B66"/>
    <w:rsid w:val="68E2061B"/>
    <w:rsid w:val="68EF411D"/>
    <w:rsid w:val="68FC4915"/>
    <w:rsid w:val="69004F74"/>
    <w:rsid w:val="690B2DC5"/>
    <w:rsid w:val="691227CD"/>
    <w:rsid w:val="69125BE9"/>
    <w:rsid w:val="691608C7"/>
    <w:rsid w:val="6917037B"/>
    <w:rsid w:val="692129D6"/>
    <w:rsid w:val="69227B3E"/>
    <w:rsid w:val="69275C02"/>
    <w:rsid w:val="692B7DAF"/>
    <w:rsid w:val="693634C5"/>
    <w:rsid w:val="693764BC"/>
    <w:rsid w:val="693A1147"/>
    <w:rsid w:val="694242C9"/>
    <w:rsid w:val="694326D7"/>
    <w:rsid w:val="6943337C"/>
    <w:rsid w:val="6945507D"/>
    <w:rsid w:val="694A7B6F"/>
    <w:rsid w:val="694E5B65"/>
    <w:rsid w:val="694F2478"/>
    <w:rsid w:val="695017F0"/>
    <w:rsid w:val="695232F6"/>
    <w:rsid w:val="69581E26"/>
    <w:rsid w:val="69591447"/>
    <w:rsid w:val="695C5205"/>
    <w:rsid w:val="69607484"/>
    <w:rsid w:val="69610A64"/>
    <w:rsid w:val="696949D2"/>
    <w:rsid w:val="69743D42"/>
    <w:rsid w:val="69765236"/>
    <w:rsid w:val="69794480"/>
    <w:rsid w:val="697972D3"/>
    <w:rsid w:val="697A61E8"/>
    <w:rsid w:val="697B471E"/>
    <w:rsid w:val="697D00A4"/>
    <w:rsid w:val="697D25C1"/>
    <w:rsid w:val="69844401"/>
    <w:rsid w:val="698C05B6"/>
    <w:rsid w:val="698E2A60"/>
    <w:rsid w:val="698F00A6"/>
    <w:rsid w:val="69931944"/>
    <w:rsid w:val="699514EF"/>
    <w:rsid w:val="6997341F"/>
    <w:rsid w:val="69A11C3B"/>
    <w:rsid w:val="69A1285D"/>
    <w:rsid w:val="69A2588D"/>
    <w:rsid w:val="69A3728F"/>
    <w:rsid w:val="69A60A98"/>
    <w:rsid w:val="69AA0649"/>
    <w:rsid w:val="69B35E64"/>
    <w:rsid w:val="69BD0786"/>
    <w:rsid w:val="69BF6EB2"/>
    <w:rsid w:val="69C2593A"/>
    <w:rsid w:val="69C40309"/>
    <w:rsid w:val="69C67FA9"/>
    <w:rsid w:val="69CC7E18"/>
    <w:rsid w:val="69DA01EC"/>
    <w:rsid w:val="69DD3507"/>
    <w:rsid w:val="69DE4BCC"/>
    <w:rsid w:val="69EE64AC"/>
    <w:rsid w:val="69EF5E8F"/>
    <w:rsid w:val="69F0790E"/>
    <w:rsid w:val="69FA6B8B"/>
    <w:rsid w:val="69FC7388"/>
    <w:rsid w:val="69FD14B4"/>
    <w:rsid w:val="6A040419"/>
    <w:rsid w:val="6A06093A"/>
    <w:rsid w:val="6A0A4204"/>
    <w:rsid w:val="6A0B58E1"/>
    <w:rsid w:val="6A0D5B9B"/>
    <w:rsid w:val="6A123E0E"/>
    <w:rsid w:val="6A17502C"/>
    <w:rsid w:val="6A192871"/>
    <w:rsid w:val="6A1A5E39"/>
    <w:rsid w:val="6A1C0A3A"/>
    <w:rsid w:val="6A1C1F68"/>
    <w:rsid w:val="6A201ECE"/>
    <w:rsid w:val="6A220B01"/>
    <w:rsid w:val="6A3B06AF"/>
    <w:rsid w:val="6A3E10A8"/>
    <w:rsid w:val="6A461748"/>
    <w:rsid w:val="6A5135AE"/>
    <w:rsid w:val="6A5777B1"/>
    <w:rsid w:val="6A630C4D"/>
    <w:rsid w:val="6A664DCC"/>
    <w:rsid w:val="6A6A0A89"/>
    <w:rsid w:val="6A6C28FE"/>
    <w:rsid w:val="6A707ED8"/>
    <w:rsid w:val="6A720F59"/>
    <w:rsid w:val="6A782761"/>
    <w:rsid w:val="6A813E93"/>
    <w:rsid w:val="6A8A6DC0"/>
    <w:rsid w:val="6A8C5C9E"/>
    <w:rsid w:val="6A8D49EE"/>
    <w:rsid w:val="6A911E51"/>
    <w:rsid w:val="6A933BC6"/>
    <w:rsid w:val="6A941E18"/>
    <w:rsid w:val="6AA11834"/>
    <w:rsid w:val="6AA6333F"/>
    <w:rsid w:val="6AAD1E2D"/>
    <w:rsid w:val="6AAF6A3B"/>
    <w:rsid w:val="6ABB7774"/>
    <w:rsid w:val="6ABD6AB5"/>
    <w:rsid w:val="6AC0298A"/>
    <w:rsid w:val="6AC26C9F"/>
    <w:rsid w:val="6ACA1ABA"/>
    <w:rsid w:val="6ACE028C"/>
    <w:rsid w:val="6AD45511"/>
    <w:rsid w:val="6AD462FE"/>
    <w:rsid w:val="6AE2343C"/>
    <w:rsid w:val="6AE44FEE"/>
    <w:rsid w:val="6AEE53D9"/>
    <w:rsid w:val="6B087C51"/>
    <w:rsid w:val="6B0F2262"/>
    <w:rsid w:val="6B0F6BF7"/>
    <w:rsid w:val="6B134798"/>
    <w:rsid w:val="6B1747F7"/>
    <w:rsid w:val="6B186495"/>
    <w:rsid w:val="6B2810E5"/>
    <w:rsid w:val="6B2B485D"/>
    <w:rsid w:val="6B2E0FF8"/>
    <w:rsid w:val="6B35245D"/>
    <w:rsid w:val="6B3920DE"/>
    <w:rsid w:val="6B39295B"/>
    <w:rsid w:val="6B496330"/>
    <w:rsid w:val="6B5B1D93"/>
    <w:rsid w:val="6B625A72"/>
    <w:rsid w:val="6B644173"/>
    <w:rsid w:val="6B68554D"/>
    <w:rsid w:val="6B750BC5"/>
    <w:rsid w:val="6B824AD0"/>
    <w:rsid w:val="6B8C6BBF"/>
    <w:rsid w:val="6B972EB8"/>
    <w:rsid w:val="6B972F02"/>
    <w:rsid w:val="6B9E2435"/>
    <w:rsid w:val="6BA22588"/>
    <w:rsid w:val="6BA479B6"/>
    <w:rsid w:val="6BA56536"/>
    <w:rsid w:val="6BAA4096"/>
    <w:rsid w:val="6BB3548A"/>
    <w:rsid w:val="6BB441AB"/>
    <w:rsid w:val="6BB46F20"/>
    <w:rsid w:val="6BB61CFD"/>
    <w:rsid w:val="6BBB3316"/>
    <w:rsid w:val="6BBE7AD8"/>
    <w:rsid w:val="6BC211E0"/>
    <w:rsid w:val="6BC46677"/>
    <w:rsid w:val="6BCD2281"/>
    <w:rsid w:val="6BCD4E2C"/>
    <w:rsid w:val="6BD77A06"/>
    <w:rsid w:val="6BD83F86"/>
    <w:rsid w:val="6BD85917"/>
    <w:rsid w:val="6BDD287E"/>
    <w:rsid w:val="6BE04BE9"/>
    <w:rsid w:val="6BE239B3"/>
    <w:rsid w:val="6BE61029"/>
    <w:rsid w:val="6BF44A88"/>
    <w:rsid w:val="6BF471C2"/>
    <w:rsid w:val="6BF74BC1"/>
    <w:rsid w:val="6BF95CAB"/>
    <w:rsid w:val="6BFB3C2F"/>
    <w:rsid w:val="6BFB5F26"/>
    <w:rsid w:val="6BFB5FFF"/>
    <w:rsid w:val="6BFD3F35"/>
    <w:rsid w:val="6C052894"/>
    <w:rsid w:val="6C09402E"/>
    <w:rsid w:val="6C0B516E"/>
    <w:rsid w:val="6C0D60F0"/>
    <w:rsid w:val="6C110B50"/>
    <w:rsid w:val="6C1E1822"/>
    <w:rsid w:val="6C2246DA"/>
    <w:rsid w:val="6C2A403F"/>
    <w:rsid w:val="6C2A47AE"/>
    <w:rsid w:val="6C2B3172"/>
    <w:rsid w:val="6C3509B7"/>
    <w:rsid w:val="6C366A42"/>
    <w:rsid w:val="6C375655"/>
    <w:rsid w:val="6C405D14"/>
    <w:rsid w:val="6C4143B8"/>
    <w:rsid w:val="6C422152"/>
    <w:rsid w:val="6C464160"/>
    <w:rsid w:val="6C4875CE"/>
    <w:rsid w:val="6C490155"/>
    <w:rsid w:val="6C4B7CDD"/>
    <w:rsid w:val="6C4D302C"/>
    <w:rsid w:val="6C53748A"/>
    <w:rsid w:val="6C540525"/>
    <w:rsid w:val="6C544226"/>
    <w:rsid w:val="6C5956F4"/>
    <w:rsid w:val="6C5977FA"/>
    <w:rsid w:val="6C5B1E5F"/>
    <w:rsid w:val="6C6729A3"/>
    <w:rsid w:val="6C6B242D"/>
    <w:rsid w:val="6C7A170A"/>
    <w:rsid w:val="6C832083"/>
    <w:rsid w:val="6C8F145C"/>
    <w:rsid w:val="6C933904"/>
    <w:rsid w:val="6C951BE1"/>
    <w:rsid w:val="6C971B69"/>
    <w:rsid w:val="6C9E4770"/>
    <w:rsid w:val="6CA443DC"/>
    <w:rsid w:val="6CAD13CF"/>
    <w:rsid w:val="6CB200D1"/>
    <w:rsid w:val="6CB4107F"/>
    <w:rsid w:val="6CB41154"/>
    <w:rsid w:val="6CB7151F"/>
    <w:rsid w:val="6CC81AD6"/>
    <w:rsid w:val="6CC96FFD"/>
    <w:rsid w:val="6CD25CB0"/>
    <w:rsid w:val="6CE124F0"/>
    <w:rsid w:val="6CE239A2"/>
    <w:rsid w:val="6CE51FB7"/>
    <w:rsid w:val="6CE709D8"/>
    <w:rsid w:val="6CF023E7"/>
    <w:rsid w:val="6CF12FB9"/>
    <w:rsid w:val="6CF3094C"/>
    <w:rsid w:val="6CF47FCC"/>
    <w:rsid w:val="6CFB10D7"/>
    <w:rsid w:val="6CFD7376"/>
    <w:rsid w:val="6CFE7F21"/>
    <w:rsid w:val="6CFE7F29"/>
    <w:rsid w:val="6D025413"/>
    <w:rsid w:val="6D0361E1"/>
    <w:rsid w:val="6D0436F0"/>
    <w:rsid w:val="6D0607AF"/>
    <w:rsid w:val="6D077638"/>
    <w:rsid w:val="6D0A63C2"/>
    <w:rsid w:val="6D0C38CC"/>
    <w:rsid w:val="6D0F68F8"/>
    <w:rsid w:val="6D1000FF"/>
    <w:rsid w:val="6D10306A"/>
    <w:rsid w:val="6D127803"/>
    <w:rsid w:val="6D1D027C"/>
    <w:rsid w:val="6D1F1A24"/>
    <w:rsid w:val="6D1F55E3"/>
    <w:rsid w:val="6D203A0A"/>
    <w:rsid w:val="6D2665D6"/>
    <w:rsid w:val="6D2A37BA"/>
    <w:rsid w:val="6D2D1C1D"/>
    <w:rsid w:val="6D3730F8"/>
    <w:rsid w:val="6D3F5054"/>
    <w:rsid w:val="6D445FBF"/>
    <w:rsid w:val="6D492C0A"/>
    <w:rsid w:val="6D4A4D4C"/>
    <w:rsid w:val="6D4F0342"/>
    <w:rsid w:val="6D5268EB"/>
    <w:rsid w:val="6D596A05"/>
    <w:rsid w:val="6D5A2ACE"/>
    <w:rsid w:val="6D5B493D"/>
    <w:rsid w:val="6D5D4487"/>
    <w:rsid w:val="6D647AA7"/>
    <w:rsid w:val="6D647B33"/>
    <w:rsid w:val="6D6547D9"/>
    <w:rsid w:val="6D712153"/>
    <w:rsid w:val="6D730AA2"/>
    <w:rsid w:val="6D785EE2"/>
    <w:rsid w:val="6D7C65D4"/>
    <w:rsid w:val="6D7C7E63"/>
    <w:rsid w:val="6D7F5A6E"/>
    <w:rsid w:val="6D8026F1"/>
    <w:rsid w:val="6D857B76"/>
    <w:rsid w:val="6D8B45AB"/>
    <w:rsid w:val="6D910891"/>
    <w:rsid w:val="6D951928"/>
    <w:rsid w:val="6D9C0FE4"/>
    <w:rsid w:val="6D9C135A"/>
    <w:rsid w:val="6D9E0FA3"/>
    <w:rsid w:val="6DA56A3B"/>
    <w:rsid w:val="6DAA6D7F"/>
    <w:rsid w:val="6DAD47BA"/>
    <w:rsid w:val="6DAD760A"/>
    <w:rsid w:val="6DAF4D64"/>
    <w:rsid w:val="6DAF7528"/>
    <w:rsid w:val="6DB3295B"/>
    <w:rsid w:val="6DB5272C"/>
    <w:rsid w:val="6DB63D3B"/>
    <w:rsid w:val="6DB97DE8"/>
    <w:rsid w:val="6DBC435D"/>
    <w:rsid w:val="6DC43DD3"/>
    <w:rsid w:val="6DC72597"/>
    <w:rsid w:val="6DC8019B"/>
    <w:rsid w:val="6DC93285"/>
    <w:rsid w:val="6DCA5B51"/>
    <w:rsid w:val="6DCA5D81"/>
    <w:rsid w:val="6DCC4EFA"/>
    <w:rsid w:val="6DCC7B1B"/>
    <w:rsid w:val="6DD12B2C"/>
    <w:rsid w:val="6DD64FB4"/>
    <w:rsid w:val="6DD65FBD"/>
    <w:rsid w:val="6DD7394A"/>
    <w:rsid w:val="6DDA0D21"/>
    <w:rsid w:val="6DDE1FB0"/>
    <w:rsid w:val="6DF472E5"/>
    <w:rsid w:val="6DF606F4"/>
    <w:rsid w:val="6DF813EC"/>
    <w:rsid w:val="6DFA1D3F"/>
    <w:rsid w:val="6DFA3228"/>
    <w:rsid w:val="6E041063"/>
    <w:rsid w:val="6E085D39"/>
    <w:rsid w:val="6E127311"/>
    <w:rsid w:val="6E1508DA"/>
    <w:rsid w:val="6E17670A"/>
    <w:rsid w:val="6E1911B7"/>
    <w:rsid w:val="6E196CF5"/>
    <w:rsid w:val="6E1B7DFC"/>
    <w:rsid w:val="6E1C056E"/>
    <w:rsid w:val="6E1C4C0C"/>
    <w:rsid w:val="6E28515E"/>
    <w:rsid w:val="6E343A90"/>
    <w:rsid w:val="6E3E2BE0"/>
    <w:rsid w:val="6E3E7A35"/>
    <w:rsid w:val="6E422DCA"/>
    <w:rsid w:val="6E4C74A3"/>
    <w:rsid w:val="6E546BD2"/>
    <w:rsid w:val="6E5736CF"/>
    <w:rsid w:val="6E5A75EE"/>
    <w:rsid w:val="6E613CB4"/>
    <w:rsid w:val="6E6601EA"/>
    <w:rsid w:val="6E67742A"/>
    <w:rsid w:val="6E6E7F3B"/>
    <w:rsid w:val="6E7450D0"/>
    <w:rsid w:val="6E7D45EF"/>
    <w:rsid w:val="6E825380"/>
    <w:rsid w:val="6E8557B2"/>
    <w:rsid w:val="6E8904C0"/>
    <w:rsid w:val="6E8B065F"/>
    <w:rsid w:val="6E8C6451"/>
    <w:rsid w:val="6E9D3A58"/>
    <w:rsid w:val="6E9D67AE"/>
    <w:rsid w:val="6E9E378F"/>
    <w:rsid w:val="6EA71927"/>
    <w:rsid w:val="6EAC5618"/>
    <w:rsid w:val="6EAD10D2"/>
    <w:rsid w:val="6EB24BA4"/>
    <w:rsid w:val="6EB517F1"/>
    <w:rsid w:val="6EB916A5"/>
    <w:rsid w:val="6EBE5239"/>
    <w:rsid w:val="6EC04403"/>
    <w:rsid w:val="6EC74161"/>
    <w:rsid w:val="6ECC3658"/>
    <w:rsid w:val="6ECD2AA1"/>
    <w:rsid w:val="6ED70525"/>
    <w:rsid w:val="6EDC75E9"/>
    <w:rsid w:val="6EDF4FDF"/>
    <w:rsid w:val="6EE52710"/>
    <w:rsid w:val="6EE56336"/>
    <w:rsid w:val="6EEE338B"/>
    <w:rsid w:val="6EF14DD4"/>
    <w:rsid w:val="6EFD437C"/>
    <w:rsid w:val="6F047BAF"/>
    <w:rsid w:val="6F0C2BD1"/>
    <w:rsid w:val="6F106DA0"/>
    <w:rsid w:val="6F126339"/>
    <w:rsid w:val="6F1A3D95"/>
    <w:rsid w:val="6F222338"/>
    <w:rsid w:val="6F26581A"/>
    <w:rsid w:val="6F2C1B12"/>
    <w:rsid w:val="6F2C1D50"/>
    <w:rsid w:val="6F3B1483"/>
    <w:rsid w:val="6F3B6A02"/>
    <w:rsid w:val="6F3C482C"/>
    <w:rsid w:val="6F417C1E"/>
    <w:rsid w:val="6F42138A"/>
    <w:rsid w:val="6F4A5954"/>
    <w:rsid w:val="6F4B4746"/>
    <w:rsid w:val="6F4C2689"/>
    <w:rsid w:val="6F4E6E04"/>
    <w:rsid w:val="6F55769C"/>
    <w:rsid w:val="6F5C3AC4"/>
    <w:rsid w:val="6F6118BB"/>
    <w:rsid w:val="6F653D83"/>
    <w:rsid w:val="6F6C4AB2"/>
    <w:rsid w:val="6F6D556C"/>
    <w:rsid w:val="6F70709B"/>
    <w:rsid w:val="6F80296B"/>
    <w:rsid w:val="6F820DA0"/>
    <w:rsid w:val="6F952A58"/>
    <w:rsid w:val="6F965813"/>
    <w:rsid w:val="6F977CB5"/>
    <w:rsid w:val="6F9E2E0C"/>
    <w:rsid w:val="6F9F4ED6"/>
    <w:rsid w:val="6F9F566B"/>
    <w:rsid w:val="6FA54246"/>
    <w:rsid w:val="6FAA15AA"/>
    <w:rsid w:val="6FAD1FB1"/>
    <w:rsid w:val="6FB5612A"/>
    <w:rsid w:val="6FB82F12"/>
    <w:rsid w:val="6FBE1C81"/>
    <w:rsid w:val="6FC30E0B"/>
    <w:rsid w:val="6FC72EF9"/>
    <w:rsid w:val="6FD033A7"/>
    <w:rsid w:val="6FD36498"/>
    <w:rsid w:val="6FD47CC9"/>
    <w:rsid w:val="6FDE635F"/>
    <w:rsid w:val="6FDF082E"/>
    <w:rsid w:val="6FE41BD6"/>
    <w:rsid w:val="6FE638FD"/>
    <w:rsid w:val="6FE80E39"/>
    <w:rsid w:val="6FEA0928"/>
    <w:rsid w:val="6FED4B7D"/>
    <w:rsid w:val="6FEE2E66"/>
    <w:rsid w:val="6FF03AF2"/>
    <w:rsid w:val="6FF56A77"/>
    <w:rsid w:val="6FF728AE"/>
    <w:rsid w:val="6FFD7526"/>
    <w:rsid w:val="70014F51"/>
    <w:rsid w:val="700C7E1B"/>
    <w:rsid w:val="700F3B01"/>
    <w:rsid w:val="700F55C1"/>
    <w:rsid w:val="701A3AF9"/>
    <w:rsid w:val="701C41BC"/>
    <w:rsid w:val="7027486E"/>
    <w:rsid w:val="70277312"/>
    <w:rsid w:val="702A43E2"/>
    <w:rsid w:val="70303489"/>
    <w:rsid w:val="703228A1"/>
    <w:rsid w:val="70347F78"/>
    <w:rsid w:val="703A6E07"/>
    <w:rsid w:val="70425552"/>
    <w:rsid w:val="70471876"/>
    <w:rsid w:val="70490E05"/>
    <w:rsid w:val="704A2B76"/>
    <w:rsid w:val="70500CCA"/>
    <w:rsid w:val="70513443"/>
    <w:rsid w:val="7055087C"/>
    <w:rsid w:val="70567D7D"/>
    <w:rsid w:val="70571E08"/>
    <w:rsid w:val="70590020"/>
    <w:rsid w:val="705B0268"/>
    <w:rsid w:val="70646D1E"/>
    <w:rsid w:val="70650148"/>
    <w:rsid w:val="707718DA"/>
    <w:rsid w:val="707C73C4"/>
    <w:rsid w:val="707E2AEB"/>
    <w:rsid w:val="708146EA"/>
    <w:rsid w:val="70A62700"/>
    <w:rsid w:val="70BF1D39"/>
    <w:rsid w:val="70BF6353"/>
    <w:rsid w:val="70C1475A"/>
    <w:rsid w:val="70C14FE6"/>
    <w:rsid w:val="70C252D0"/>
    <w:rsid w:val="70C57E48"/>
    <w:rsid w:val="70CA13C9"/>
    <w:rsid w:val="70CE4EA1"/>
    <w:rsid w:val="70DB0532"/>
    <w:rsid w:val="70DD5B9B"/>
    <w:rsid w:val="70E07185"/>
    <w:rsid w:val="70E27536"/>
    <w:rsid w:val="70E92466"/>
    <w:rsid w:val="70F0132D"/>
    <w:rsid w:val="7100422E"/>
    <w:rsid w:val="710B742E"/>
    <w:rsid w:val="71142A47"/>
    <w:rsid w:val="71163C22"/>
    <w:rsid w:val="711A325B"/>
    <w:rsid w:val="711B0E77"/>
    <w:rsid w:val="711C0313"/>
    <w:rsid w:val="713441D1"/>
    <w:rsid w:val="713459AF"/>
    <w:rsid w:val="71355CCF"/>
    <w:rsid w:val="713D4770"/>
    <w:rsid w:val="713F5A3D"/>
    <w:rsid w:val="71410486"/>
    <w:rsid w:val="7145137F"/>
    <w:rsid w:val="71452C17"/>
    <w:rsid w:val="71454FD6"/>
    <w:rsid w:val="71456179"/>
    <w:rsid w:val="714E4F11"/>
    <w:rsid w:val="71513ECA"/>
    <w:rsid w:val="715C25B1"/>
    <w:rsid w:val="716B1941"/>
    <w:rsid w:val="71756B82"/>
    <w:rsid w:val="71781929"/>
    <w:rsid w:val="71783015"/>
    <w:rsid w:val="717958C4"/>
    <w:rsid w:val="717B5FFC"/>
    <w:rsid w:val="717C1B6D"/>
    <w:rsid w:val="717F601D"/>
    <w:rsid w:val="71805C66"/>
    <w:rsid w:val="71875DE0"/>
    <w:rsid w:val="718D3A84"/>
    <w:rsid w:val="718F1CF2"/>
    <w:rsid w:val="71961678"/>
    <w:rsid w:val="71983138"/>
    <w:rsid w:val="7199761A"/>
    <w:rsid w:val="719B1CDE"/>
    <w:rsid w:val="71A03D82"/>
    <w:rsid w:val="71A1486B"/>
    <w:rsid w:val="71A82419"/>
    <w:rsid w:val="71A97623"/>
    <w:rsid w:val="71AD26FD"/>
    <w:rsid w:val="71B058D6"/>
    <w:rsid w:val="71BF04AE"/>
    <w:rsid w:val="71C1342E"/>
    <w:rsid w:val="71C97EA1"/>
    <w:rsid w:val="71CA1622"/>
    <w:rsid w:val="71CC4F01"/>
    <w:rsid w:val="71D029A8"/>
    <w:rsid w:val="71D34497"/>
    <w:rsid w:val="71D945B4"/>
    <w:rsid w:val="71DB1B59"/>
    <w:rsid w:val="71DB20DB"/>
    <w:rsid w:val="71E0271D"/>
    <w:rsid w:val="71EB015E"/>
    <w:rsid w:val="71FD4AAE"/>
    <w:rsid w:val="72014147"/>
    <w:rsid w:val="72032534"/>
    <w:rsid w:val="72034234"/>
    <w:rsid w:val="72037B45"/>
    <w:rsid w:val="72065552"/>
    <w:rsid w:val="720C7243"/>
    <w:rsid w:val="72116C26"/>
    <w:rsid w:val="7212164B"/>
    <w:rsid w:val="721B5BF8"/>
    <w:rsid w:val="721F2DE6"/>
    <w:rsid w:val="7229584D"/>
    <w:rsid w:val="722A1042"/>
    <w:rsid w:val="722A5E8C"/>
    <w:rsid w:val="722F5FDB"/>
    <w:rsid w:val="723A4E29"/>
    <w:rsid w:val="723B7E6C"/>
    <w:rsid w:val="723C5ED7"/>
    <w:rsid w:val="723E6DA6"/>
    <w:rsid w:val="723F0FEF"/>
    <w:rsid w:val="72450D74"/>
    <w:rsid w:val="7245773D"/>
    <w:rsid w:val="724E734A"/>
    <w:rsid w:val="72502D2F"/>
    <w:rsid w:val="72530AC5"/>
    <w:rsid w:val="725E68B8"/>
    <w:rsid w:val="725F2A62"/>
    <w:rsid w:val="72681C41"/>
    <w:rsid w:val="72683230"/>
    <w:rsid w:val="726B58BB"/>
    <w:rsid w:val="726B5B54"/>
    <w:rsid w:val="72701562"/>
    <w:rsid w:val="727972DB"/>
    <w:rsid w:val="727D28E9"/>
    <w:rsid w:val="727F2D75"/>
    <w:rsid w:val="7280296B"/>
    <w:rsid w:val="72825A51"/>
    <w:rsid w:val="7285416E"/>
    <w:rsid w:val="72876680"/>
    <w:rsid w:val="728B66D1"/>
    <w:rsid w:val="728E5D6F"/>
    <w:rsid w:val="729248BA"/>
    <w:rsid w:val="72A6757C"/>
    <w:rsid w:val="72A90AE5"/>
    <w:rsid w:val="72A90BA3"/>
    <w:rsid w:val="72A92214"/>
    <w:rsid w:val="72AA32E4"/>
    <w:rsid w:val="72AB732F"/>
    <w:rsid w:val="72B11181"/>
    <w:rsid w:val="72C57F27"/>
    <w:rsid w:val="72CA5821"/>
    <w:rsid w:val="72CB168D"/>
    <w:rsid w:val="72CC085A"/>
    <w:rsid w:val="72DB152D"/>
    <w:rsid w:val="72DE53C9"/>
    <w:rsid w:val="72E3014F"/>
    <w:rsid w:val="72E60FD4"/>
    <w:rsid w:val="72E6342D"/>
    <w:rsid w:val="72E63676"/>
    <w:rsid w:val="72E74729"/>
    <w:rsid w:val="72EB6133"/>
    <w:rsid w:val="72F310F6"/>
    <w:rsid w:val="72F46E7F"/>
    <w:rsid w:val="72FA2A34"/>
    <w:rsid w:val="72FA6ED8"/>
    <w:rsid w:val="72FB207B"/>
    <w:rsid w:val="72FC1A86"/>
    <w:rsid w:val="72FD2954"/>
    <w:rsid w:val="730668C2"/>
    <w:rsid w:val="730D7F3F"/>
    <w:rsid w:val="730E1B09"/>
    <w:rsid w:val="730E5503"/>
    <w:rsid w:val="73161904"/>
    <w:rsid w:val="73165DBB"/>
    <w:rsid w:val="73180892"/>
    <w:rsid w:val="731D2ABB"/>
    <w:rsid w:val="731D50D3"/>
    <w:rsid w:val="73245D03"/>
    <w:rsid w:val="73247E3D"/>
    <w:rsid w:val="73254A92"/>
    <w:rsid w:val="732775A1"/>
    <w:rsid w:val="732B7011"/>
    <w:rsid w:val="7331563B"/>
    <w:rsid w:val="73373A26"/>
    <w:rsid w:val="73373DDD"/>
    <w:rsid w:val="733A432A"/>
    <w:rsid w:val="734009F2"/>
    <w:rsid w:val="734C7D60"/>
    <w:rsid w:val="7350578A"/>
    <w:rsid w:val="7355631B"/>
    <w:rsid w:val="73597BFA"/>
    <w:rsid w:val="735A6C75"/>
    <w:rsid w:val="7365527F"/>
    <w:rsid w:val="736647E7"/>
    <w:rsid w:val="736656D6"/>
    <w:rsid w:val="7369301D"/>
    <w:rsid w:val="736B1B84"/>
    <w:rsid w:val="736E49FB"/>
    <w:rsid w:val="737461CB"/>
    <w:rsid w:val="7375435A"/>
    <w:rsid w:val="73760E54"/>
    <w:rsid w:val="73766207"/>
    <w:rsid w:val="737940A3"/>
    <w:rsid w:val="737A79FC"/>
    <w:rsid w:val="737D6D3E"/>
    <w:rsid w:val="73830130"/>
    <w:rsid w:val="738468FE"/>
    <w:rsid w:val="73874AFF"/>
    <w:rsid w:val="738D05D6"/>
    <w:rsid w:val="738E25C3"/>
    <w:rsid w:val="7396052E"/>
    <w:rsid w:val="739A6D6D"/>
    <w:rsid w:val="73A04DD6"/>
    <w:rsid w:val="73A40BF2"/>
    <w:rsid w:val="73A5566A"/>
    <w:rsid w:val="73AE6EED"/>
    <w:rsid w:val="73B9469D"/>
    <w:rsid w:val="73BB5314"/>
    <w:rsid w:val="73BE5A8B"/>
    <w:rsid w:val="73CB6B87"/>
    <w:rsid w:val="73CC4BDC"/>
    <w:rsid w:val="73CF2029"/>
    <w:rsid w:val="73D06904"/>
    <w:rsid w:val="73D7494C"/>
    <w:rsid w:val="73D86EDB"/>
    <w:rsid w:val="73DA4614"/>
    <w:rsid w:val="73E07E7C"/>
    <w:rsid w:val="73E87175"/>
    <w:rsid w:val="73EB6C98"/>
    <w:rsid w:val="73EE47E8"/>
    <w:rsid w:val="73FA05FE"/>
    <w:rsid w:val="73FB027F"/>
    <w:rsid w:val="73FE6C56"/>
    <w:rsid w:val="74086978"/>
    <w:rsid w:val="740C0C71"/>
    <w:rsid w:val="740F39B1"/>
    <w:rsid w:val="741B46C1"/>
    <w:rsid w:val="74257694"/>
    <w:rsid w:val="74262072"/>
    <w:rsid w:val="742763FA"/>
    <w:rsid w:val="742F6538"/>
    <w:rsid w:val="743106D8"/>
    <w:rsid w:val="74337315"/>
    <w:rsid w:val="74373033"/>
    <w:rsid w:val="743B06D9"/>
    <w:rsid w:val="74411778"/>
    <w:rsid w:val="74476009"/>
    <w:rsid w:val="74534AF2"/>
    <w:rsid w:val="745C3CE6"/>
    <w:rsid w:val="74625888"/>
    <w:rsid w:val="74647E95"/>
    <w:rsid w:val="74675C48"/>
    <w:rsid w:val="746A1E3C"/>
    <w:rsid w:val="7470154F"/>
    <w:rsid w:val="747361E0"/>
    <w:rsid w:val="7479421A"/>
    <w:rsid w:val="747A11FA"/>
    <w:rsid w:val="747B37B6"/>
    <w:rsid w:val="747B7BA5"/>
    <w:rsid w:val="74813BAB"/>
    <w:rsid w:val="74864D7B"/>
    <w:rsid w:val="74904BD8"/>
    <w:rsid w:val="749211C5"/>
    <w:rsid w:val="74A55D5E"/>
    <w:rsid w:val="74A628A0"/>
    <w:rsid w:val="74A848D5"/>
    <w:rsid w:val="74B01C49"/>
    <w:rsid w:val="74BD6CB3"/>
    <w:rsid w:val="74C31BE4"/>
    <w:rsid w:val="74C4154C"/>
    <w:rsid w:val="74D02501"/>
    <w:rsid w:val="74D7029B"/>
    <w:rsid w:val="74D72579"/>
    <w:rsid w:val="74DB41D3"/>
    <w:rsid w:val="74DD0CAE"/>
    <w:rsid w:val="74DD65AD"/>
    <w:rsid w:val="74DE5A8B"/>
    <w:rsid w:val="74E20E31"/>
    <w:rsid w:val="74E2606C"/>
    <w:rsid w:val="74E54811"/>
    <w:rsid w:val="74EA4FDD"/>
    <w:rsid w:val="74EA5333"/>
    <w:rsid w:val="74EC2851"/>
    <w:rsid w:val="74EF10AC"/>
    <w:rsid w:val="74F17F7A"/>
    <w:rsid w:val="74F9369A"/>
    <w:rsid w:val="750332E3"/>
    <w:rsid w:val="7504644A"/>
    <w:rsid w:val="75090222"/>
    <w:rsid w:val="750D769F"/>
    <w:rsid w:val="75136495"/>
    <w:rsid w:val="75154A67"/>
    <w:rsid w:val="7516601F"/>
    <w:rsid w:val="75226F35"/>
    <w:rsid w:val="752913AF"/>
    <w:rsid w:val="75366896"/>
    <w:rsid w:val="75372FEB"/>
    <w:rsid w:val="753E5F4B"/>
    <w:rsid w:val="75412D7B"/>
    <w:rsid w:val="7546737A"/>
    <w:rsid w:val="75467512"/>
    <w:rsid w:val="75471F7D"/>
    <w:rsid w:val="75475B33"/>
    <w:rsid w:val="754A7E90"/>
    <w:rsid w:val="754E7067"/>
    <w:rsid w:val="755C61F5"/>
    <w:rsid w:val="75613139"/>
    <w:rsid w:val="757A3FBE"/>
    <w:rsid w:val="757E29DE"/>
    <w:rsid w:val="758221F8"/>
    <w:rsid w:val="75851291"/>
    <w:rsid w:val="758C3580"/>
    <w:rsid w:val="758C7E4C"/>
    <w:rsid w:val="758F697C"/>
    <w:rsid w:val="759155A5"/>
    <w:rsid w:val="75925579"/>
    <w:rsid w:val="75932CCC"/>
    <w:rsid w:val="75936B83"/>
    <w:rsid w:val="75937711"/>
    <w:rsid w:val="75973859"/>
    <w:rsid w:val="759B5CE3"/>
    <w:rsid w:val="759D75C8"/>
    <w:rsid w:val="759E1D9D"/>
    <w:rsid w:val="75A34EF3"/>
    <w:rsid w:val="75A56F8C"/>
    <w:rsid w:val="75A90F84"/>
    <w:rsid w:val="75AE7B06"/>
    <w:rsid w:val="75B82631"/>
    <w:rsid w:val="75BA1769"/>
    <w:rsid w:val="75BD27E9"/>
    <w:rsid w:val="75C0704F"/>
    <w:rsid w:val="75C53727"/>
    <w:rsid w:val="75CD365C"/>
    <w:rsid w:val="75D756E9"/>
    <w:rsid w:val="75E364CD"/>
    <w:rsid w:val="75E81885"/>
    <w:rsid w:val="75E874BC"/>
    <w:rsid w:val="75EE21BF"/>
    <w:rsid w:val="75F21E18"/>
    <w:rsid w:val="75F57ED3"/>
    <w:rsid w:val="75FA5D3E"/>
    <w:rsid w:val="7600082B"/>
    <w:rsid w:val="76027A21"/>
    <w:rsid w:val="76066E25"/>
    <w:rsid w:val="760B4C72"/>
    <w:rsid w:val="760D7173"/>
    <w:rsid w:val="76103632"/>
    <w:rsid w:val="76131CF1"/>
    <w:rsid w:val="76141531"/>
    <w:rsid w:val="761448CE"/>
    <w:rsid w:val="7626250C"/>
    <w:rsid w:val="762B1E9B"/>
    <w:rsid w:val="762D2AF8"/>
    <w:rsid w:val="76323832"/>
    <w:rsid w:val="763F4D81"/>
    <w:rsid w:val="763F4E91"/>
    <w:rsid w:val="763F5803"/>
    <w:rsid w:val="764215C8"/>
    <w:rsid w:val="764F46BF"/>
    <w:rsid w:val="7651680D"/>
    <w:rsid w:val="765250C9"/>
    <w:rsid w:val="76576343"/>
    <w:rsid w:val="76583D66"/>
    <w:rsid w:val="765D7382"/>
    <w:rsid w:val="76662A87"/>
    <w:rsid w:val="766705DB"/>
    <w:rsid w:val="7669770E"/>
    <w:rsid w:val="766F2A90"/>
    <w:rsid w:val="76714539"/>
    <w:rsid w:val="767522D1"/>
    <w:rsid w:val="767E572A"/>
    <w:rsid w:val="767E6788"/>
    <w:rsid w:val="76876CD5"/>
    <w:rsid w:val="76893CC8"/>
    <w:rsid w:val="76906190"/>
    <w:rsid w:val="76960454"/>
    <w:rsid w:val="76985DBA"/>
    <w:rsid w:val="769C6DB5"/>
    <w:rsid w:val="76A51D47"/>
    <w:rsid w:val="76AA3D68"/>
    <w:rsid w:val="76AB0BCD"/>
    <w:rsid w:val="76AC4C69"/>
    <w:rsid w:val="76AD0D37"/>
    <w:rsid w:val="76AF4A5A"/>
    <w:rsid w:val="76BD02D8"/>
    <w:rsid w:val="76C3729F"/>
    <w:rsid w:val="76D06F4F"/>
    <w:rsid w:val="76D31F1A"/>
    <w:rsid w:val="76D609B7"/>
    <w:rsid w:val="76D640FC"/>
    <w:rsid w:val="76DC3370"/>
    <w:rsid w:val="76DC5B01"/>
    <w:rsid w:val="76DE759D"/>
    <w:rsid w:val="76E108BF"/>
    <w:rsid w:val="76E42044"/>
    <w:rsid w:val="76E8020E"/>
    <w:rsid w:val="76E86A50"/>
    <w:rsid w:val="76E91AF6"/>
    <w:rsid w:val="76EF0154"/>
    <w:rsid w:val="76F15A2A"/>
    <w:rsid w:val="76F36E9D"/>
    <w:rsid w:val="770217DF"/>
    <w:rsid w:val="77040325"/>
    <w:rsid w:val="77066A6F"/>
    <w:rsid w:val="7709652F"/>
    <w:rsid w:val="7712211C"/>
    <w:rsid w:val="77165AFA"/>
    <w:rsid w:val="771746D5"/>
    <w:rsid w:val="7720372B"/>
    <w:rsid w:val="772125DD"/>
    <w:rsid w:val="77227126"/>
    <w:rsid w:val="77261F20"/>
    <w:rsid w:val="772B0D9E"/>
    <w:rsid w:val="77343FD6"/>
    <w:rsid w:val="77355BAF"/>
    <w:rsid w:val="77361703"/>
    <w:rsid w:val="773F4EBA"/>
    <w:rsid w:val="77400A64"/>
    <w:rsid w:val="77432C33"/>
    <w:rsid w:val="77531772"/>
    <w:rsid w:val="77570ABC"/>
    <w:rsid w:val="775775AA"/>
    <w:rsid w:val="775E433B"/>
    <w:rsid w:val="776A77D3"/>
    <w:rsid w:val="776D0C5B"/>
    <w:rsid w:val="77705B4D"/>
    <w:rsid w:val="77732652"/>
    <w:rsid w:val="7774397E"/>
    <w:rsid w:val="7779719C"/>
    <w:rsid w:val="777A41FF"/>
    <w:rsid w:val="77830224"/>
    <w:rsid w:val="77851E6E"/>
    <w:rsid w:val="778667B0"/>
    <w:rsid w:val="778D2618"/>
    <w:rsid w:val="77931AC5"/>
    <w:rsid w:val="779642FB"/>
    <w:rsid w:val="77A02A70"/>
    <w:rsid w:val="77A508EA"/>
    <w:rsid w:val="77A62B4D"/>
    <w:rsid w:val="77A92BD2"/>
    <w:rsid w:val="77AC4124"/>
    <w:rsid w:val="77AD69CC"/>
    <w:rsid w:val="77B145C2"/>
    <w:rsid w:val="77B370DF"/>
    <w:rsid w:val="77BD5CC3"/>
    <w:rsid w:val="77D564B9"/>
    <w:rsid w:val="77D93E4E"/>
    <w:rsid w:val="77DB1DBF"/>
    <w:rsid w:val="77DD66C8"/>
    <w:rsid w:val="77E7439B"/>
    <w:rsid w:val="77ED0DBA"/>
    <w:rsid w:val="77ED5186"/>
    <w:rsid w:val="77EE2CAB"/>
    <w:rsid w:val="77EE4195"/>
    <w:rsid w:val="77EF68E0"/>
    <w:rsid w:val="77F13DB2"/>
    <w:rsid w:val="77F920F5"/>
    <w:rsid w:val="7801771A"/>
    <w:rsid w:val="78032A1B"/>
    <w:rsid w:val="780D286A"/>
    <w:rsid w:val="78165E59"/>
    <w:rsid w:val="78202125"/>
    <w:rsid w:val="78254CFB"/>
    <w:rsid w:val="78255C74"/>
    <w:rsid w:val="782865AA"/>
    <w:rsid w:val="7836742E"/>
    <w:rsid w:val="78384DF8"/>
    <w:rsid w:val="783C2EE4"/>
    <w:rsid w:val="78462964"/>
    <w:rsid w:val="78466D20"/>
    <w:rsid w:val="78472433"/>
    <w:rsid w:val="7849070F"/>
    <w:rsid w:val="784D484F"/>
    <w:rsid w:val="784F36DC"/>
    <w:rsid w:val="78560303"/>
    <w:rsid w:val="78561DD2"/>
    <w:rsid w:val="785C4AEE"/>
    <w:rsid w:val="785E7A43"/>
    <w:rsid w:val="78601C71"/>
    <w:rsid w:val="78607709"/>
    <w:rsid w:val="78677D85"/>
    <w:rsid w:val="786848E4"/>
    <w:rsid w:val="786F30ED"/>
    <w:rsid w:val="787458B7"/>
    <w:rsid w:val="78755F8B"/>
    <w:rsid w:val="78766533"/>
    <w:rsid w:val="787E55CD"/>
    <w:rsid w:val="7884361D"/>
    <w:rsid w:val="78854C16"/>
    <w:rsid w:val="788646C9"/>
    <w:rsid w:val="78873E1D"/>
    <w:rsid w:val="788F1E71"/>
    <w:rsid w:val="78933757"/>
    <w:rsid w:val="789E3245"/>
    <w:rsid w:val="789E3C3D"/>
    <w:rsid w:val="789F36C2"/>
    <w:rsid w:val="78A843E4"/>
    <w:rsid w:val="78A87810"/>
    <w:rsid w:val="78AA1C78"/>
    <w:rsid w:val="78AE6E40"/>
    <w:rsid w:val="78B15A98"/>
    <w:rsid w:val="78B76C00"/>
    <w:rsid w:val="78B77957"/>
    <w:rsid w:val="78BC5E24"/>
    <w:rsid w:val="78C10174"/>
    <w:rsid w:val="78C37D6C"/>
    <w:rsid w:val="78C6652F"/>
    <w:rsid w:val="78C974CB"/>
    <w:rsid w:val="78D15CE4"/>
    <w:rsid w:val="78D37573"/>
    <w:rsid w:val="78D37A30"/>
    <w:rsid w:val="78D875D3"/>
    <w:rsid w:val="78E0091E"/>
    <w:rsid w:val="78E64A09"/>
    <w:rsid w:val="78F204A5"/>
    <w:rsid w:val="78F315CD"/>
    <w:rsid w:val="78F75F6C"/>
    <w:rsid w:val="78F872CF"/>
    <w:rsid w:val="78FF6F7D"/>
    <w:rsid w:val="79017CCE"/>
    <w:rsid w:val="7907736C"/>
    <w:rsid w:val="79095896"/>
    <w:rsid w:val="79095E6E"/>
    <w:rsid w:val="790A4E76"/>
    <w:rsid w:val="790C0E54"/>
    <w:rsid w:val="79155039"/>
    <w:rsid w:val="79177B7A"/>
    <w:rsid w:val="791954AD"/>
    <w:rsid w:val="791A5332"/>
    <w:rsid w:val="791C42ED"/>
    <w:rsid w:val="791D58E1"/>
    <w:rsid w:val="792055EB"/>
    <w:rsid w:val="79205E80"/>
    <w:rsid w:val="792151BF"/>
    <w:rsid w:val="7922122C"/>
    <w:rsid w:val="79276DF4"/>
    <w:rsid w:val="79281190"/>
    <w:rsid w:val="79294037"/>
    <w:rsid w:val="792A2F84"/>
    <w:rsid w:val="792A5884"/>
    <w:rsid w:val="792B5CAF"/>
    <w:rsid w:val="792E74FA"/>
    <w:rsid w:val="79363A2C"/>
    <w:rsid w:val="793E0961"/>
    <w:rsid w:val="79426C50"/>
    <w:rsid w:val="7945487C"/>
    <w:rsid w:val="79491881"/>
    <w:rsid w:val="794951C7"/>
    <w:rsid w:val="794A0E5D"/>
    <w:rsid w:val="794A6274"/>
    <w:rsid w:val="794F06EF"/>
    <w:rsid w:val="794F6196"/>
    <w:rsid w:val="79572A33"/>
    <w:rsid w:val="79591B17"/>
    <w:rsid w:val="795C4932"/>
    <w:rsid w:val="795D6F56"/>
    <w:rsid w:val="796F427F"/>
    <w:rsid w:val="79780502"/>
    <w:rsid w:val="79785F55"/>
    <w:rsid w:val="797B41A3"/>
    <w:rsid w:val="797C2996"/>
    <w:rsid w:val="797D7F44"/>
    <w:rsid w:val="79845B7C"/>
    <w:rsid w:val="79850F5D"/>
    <w:rsid w:val="79884505"/>
    <w:rsid w:val="798E74D4"/>
    <w:rsid w:val="79994E9B"/>
    <w:rsid w:val="799A15A9"/>
    <w:rsid w:val="799B3338"/>
    <w:rsid w:val="799D14A2"/>
    <w:rsid w:val="799F406C"/>
    <w:rsid w:val="79A52F4B"/>
    <w:rsid w:val="79A8661B"/>
    <w:rsid w:val="79AA0983"/>
    <w:rsid w:val="79AC1D99"/>
    <w:rsid w:val="79AE2031"/>
    <w:rsid w:val="79B41139"/>
    <w:rsid w:val="79BB4248"/>
    <w:rsid w:val="79BC19EA"/>
    <w:rsid w:val="79BC722C"/>
    <w:rsid w:val="79C0797C"/>
    <w:rsid w:val="79C77184"/>
    <w:rsid w:val="79C84939"/>
    <w:rsid w:val="79C924B5"/>
    <w:rsid w:val="79D27975"/>
    <w:rsid w:val="79DB2751"/>
    <w:rsid w:val="79DC3957"/>
    <w:rsid w:val="79DC5A67"/>
    <w:rsid w:val="79E663D9"/>
    <w:rsid w:val="79E81839"/>
    <w:rsid w:val="79E90C9C"/>
    <w:rsid w:val="79EB04F7"/>
    <w:rsid w:val="79F669C0"/>
    <w:rsid w:val="79FA77BE"/>
    <w:rsid w:val="79FD6FB1"/>
    <w:rsid w:val="7A116AE7"/>
    <w:rsid w:val="7A1C14E2"/>
    <w:rsid w:val="7A1C2BEA"/>
    <w:rsid w:val="7A25274E"/>
    <w:rsid w:val="7A2827C6"/>
    <w:rsid w:val="7A294199"/>
    <w:rsid w:val="7A2D28B1"/>
    <w:rsid w:val="7A355521"/>
    <w:rsid w:val="7A3F7DF4"/>
    <w:rsid w:val="7A403775"/>
    <w:rsid w:val="7A4379FA"/>
    <w:rsid w:val="7A5509E4"/>
    <w:rsid w:val="7A552612"/>
    <w:rsid w:val="7A57358B"/>
    <w:rsid w:val="7A5F3256"/>
    <w:rsid w:val="7A6A2083"/>
    <w:rsid w:val="7A6B03FB"/>
    <w:rsid w:val="7A6C3F5F"/>
    <w:rsid w:val="7A6D566A"/>
    <w:rsid w:val="7A6E6F67"/>
    <w:rsid w:val="7A813F0F"/>
    <w:rsid w:val="7A882A6F"/>
    <w:rsid w:val="7A8973CD"/>
    <w:rsid w:val="7A8D1E61"/>
    <w:rsid w:val="7A9279F6"/>
    <w:rsid w:val="7A9674E6"/>
    <w:rsid w:val="7A9B12F5"/>
    <w:rsid w:val="7A9C6551"/>
    <w:rsid w:val="7A9E1F30"/>
    <w:rsid w:val="7AA17C39"/>
    <w:rsid w:val="7AA460AF"/>
    <w:rsid w:val="7AA6341C"/>
    <w:rsid w:val="7AAC4F5C"/>
    <w:rsid w:val="7AAD2A82"/>
    <w:rsid w:val="7AAD6182"/>
    <w:rsid w:val="7AAF2356"/>
    <w:rsid w:val="7AB9340F"/>
    <w:rsid w:val="7ABF214C"/>
    <w:rsid w:val="7AC75FF6"/>
    <w:rsid w:val="7AC8564F"/>
    <w:rsid w:val="7ACB0F03"/>
    <w:rsid w:val="7AD4000F"/>
    <w:rsid w:val="7AD419A8"/>
    <w:rsid w:val="7AD51969"/>
    <w:rsid w:val="7ADB4A8F"/>
    <w:rsid w:val="7ADC6EC3"/>
    <w:rsid w:val="7ADE6688"/>
    <w:rsid w:val="7ADE6A1A"/>
    <w:rsid w:val="7AE5155B"/>
    <w:rsid w:val="7AE55826"/>
    <w:rsid w:val="7AE61E25"/>
    <w:rsid w:val="7AE83A9E"/>
    <w:rsid w:val="7AEF6BF7"/>
    <w:rsid w:val="7AF75AAB"/>
    <w:rsid w:val="7AFF5DF4"/>
    <w:rsid w:val="7B07474E"/>
    <w:rsid w:val="7B0C00C6"/>
    <w:rsid w:val="7B145A11"/>
    <w:rsid w:val="7B1A2B8D"/>
    <w:rsid w:val="7B1D0A30"/>
    <w:rsid w:val="7B204C45"/>
    <w:rsid w:val="7B296CBB"/>
    <w:rsid w:val="7B2A18D0"/>
    <w:rsid w:val="7B2B6C09"/>
    <w:rsid w:val="7B2E3EBE"/>
    <w:rsid w:val="7B3078F4"/>
    <w:rsid w:val="7B35329B"/>
    <w:rsid w:val="7B383198"/>
    <w:rsid w:val="7B3B58B2"/>
    <w:rsid w:val="7B3C3E9F"/>
    <w:rsid w:val="7B3D0FF6"/>
    <w:rsid w:val="7B3D5BB4"/>
    <w:rsid w:val="7B43661E"/>
    <w:rsid w:val="7B4E176A"/>
    <w:rsid w:val="7B561202"/>
    <w:rsid w:val="7B567B60"/>
    <w:rsid w:val="7B58479C"/>
    <w:rsid w:val="7B59094E"/>
    <w:rsid w:val="7B5C2528"/>
    <w:rsid w:val="7B5D7503"/>
    <w:rsid w:val="7B5F74BE"/>
    <w:rsid w:val="7B60652C"/>
    <w:rsid w:val="7B645AA9"/>
    <w:rsid w:val="7B663D91"/>
    <w:rsid w:val="7B6942FC"/>
    <w:rsid w:val="7B7E5F96"/>
    <w:rsid w:val="7B7F1968"/>
    <w:rsid w:val="7B806513"/>
    <w:rsid w:val="7B832B64"/>
    <w:rsid w:val="7B892735"/>
    <w:rsid w:val="7B8B6B8E"/>
    <w:rsid w:val="7B8E3EF7"/>
    <w:rsid w:val="7B954942"/>
    <w:rsid w:val="7B9955FA"/>
    <w:rsid w:val="7BA438B3"/>
    <w:rsid w:val="7BAD6654"/>
    <w:rsid w:val="7BB3147E"/>
    <w:rsid w:val="7BB5111C"/>
    <w:rsid w:val="7BC102F5"/>
    <w:rsid w:val="7BC344EC"/>
    <w:rsid w:val="7BC923B8"/>
    <w:rsid w:val="7BCA084F"/>
    <w:rsid w:val="7BCE3631"/>
    <w:rsid w:val="7BD40197"/>
    <w:rsid w:val="7BD51EDE"/>
    <w:rsid w:val="7BD65048"/>
    <w:rsid w:val="7BDC717B"/>
    <w:rsid w:val="7BE075EB"/>
    <w:rsid w:val="7BE1191C"/>
    <w:rsid w:val="7BE26223"/>
    <w:rsid w:val="7BE846F5"/>
    <w:rsid w:val="7BF26BAF"/>
    <w:rsid w:val="7BF33705"/>
    <w:rsid w:val="7BF96078"/>
    <w:rsid w:val="7BFD4F96"/>
    <w:rsid w:val="7BFE2F52"/>
    <w:rsid w:val="7BFF3C71"/>
    <w:rsid w:val="7C016BE2"/>
    <w:rsid w:val="7C0A157B"/>
    <w:rsid w:val="7C0A4A95"/>
    <w:rsid w:val="7C0B6B74"/>
    <w:rsid w:val="7C193BB8"/>
    <w:rsid w:val="7C1A1E19"/>
    <w:rsid w:val="7C20286D"/>
    <w:rsid w:val="7C232FFC"/>
    <w:rsid w:val="7C251503"/>
    <w:rsid w:val="7C2F1A9F"/>
    <w:rsid w:val="7C305719"/>
    <w:rsid w:val="7C3104FF"/>
    <w:rsid w:val="7C3313D6"/>
    <w:rsid w:val="7C34189F"/>
    <w:rsid w:val="7C354543"/>
    <w:rsid w:val="7C3B0ACD"/>
    <w:rsid w:val="7C456B8C"/>
    <w:rsid w:val="7C46328C"/>
    <w:rsid w:val="7C48309A"/>
    <w:rsid w:val="7C515B54"/>
    <w:rsid w:val="7C544E45"/>
    <w:rsid w:val="7C596A1E"/>
    <w:rsid w:val="7C611D76"/>
    <w:rsid w:val="7C661415"/>
    <w:rsid w:val="7C6A20EC"/>
    <w:rsid w:val="7C6B6751"/>
    <w:rsid w:val="7C6D55FE"/>
    <w:rsid w:val="7C7A5EC6"/>
    <w:rsid w:val="7C833A9B"/>
    <w:rsid w:val="7C872FC5"/>
    <w:rsid w:val="7C8813C6"/>
    <w:rsid w:val="7C9061B7"/>
    <w:rsid w:val="7C9318C4"/>
    <w:rsid w:val="7C936694"/>
    <w:rsid w:val="7C991510"/>
    <w:rsid w:val="7C9A0E11"/>
    <w:rsid w:val="7C9F1CC3"/>
    <w:rsid w:val="7CA103C5"/>
    <w:rsid w:val="7CA82EBB"/>
    <w:rsid w:val="7CA96886"/>
    <w:rsid w:val="7CAE40F5"/>
    <w:rsid w:val="7CB3006F"/>
    <w:rsid w:val="7CC03B10"/>
    <w:rsid w:val="7CC24B43"/>
    <w:rsid w:val="7CC33A2B"/>
    <w:rsid w:val="7CC40287"/>
    <w:rsid w:val="7CC873A7"/>
    <w:rsid w:val="7CCA791B"/>
    <w:rsid w:val="7CD06AEA"/>
    <w:rsid w:val="7CD17FB6"/>
    <w:rsid w:val="7CD2057E"/>
    <w:rsid w:val="7CD801B1"/>
    <w:rsid w:val="7CE05387"/>
    <w:rsid w:val="7CE51849"/>
    <w:rsid w:val="7CE75DFC"/>
    <w:rsid w:val="7CEE5E5A"/>
    <w:rsid w:val="7CF3470C"/>
    <w:rsid w:val="7CF84C9F"/>
    <w:rsid w:val="7CF8670A"/>
    <w:rsid w:val="7CFA285C"/>
    <w:rsid w:val="7CFE14F8"/>
    <w:rsid w:val="7D031796"/>
    <w:rsid w:val="7D0717DC"/>
    <w:rsid w:val="7D097764"/>
    <w:rsid w:val="7D0B3CAE"/>
    <w:rsid w:val="7D0D1CEC"/>
    <w:rsid w:val="7D0D3625"/>
    <w:rsid w:val="7D107236"/>
    <w:rsid w:val="7D143108"/>
    <w:rsid w:val="7D191D34"/>
    <w:rsid w:val="7D1A1F12"/>
    <w:rsid w:val="7D1D1BDA"/>
    <w:rsid w:val="7D2A03BA"/>
    <w:rsid w:val="7D2E4E92"/>
    <w:rsid w:val="7D377CC8"/>
    <w:rsid w:val="7D3B3080"/>
    <w:rsid w:val="7D3D4550"/>
    <w:rsid w:val="7D3E2A4D"/>
    <w:rsid w:val="7D4545CD"/>
    <w:rsid w:val="7D4932CF"/>
    <w:rsid w:val="7D4A41DD"/>
    <w:rsid w:val="7D4B7DB8"/>
    <w:rsid w:val="7D531DEB"/>
    <w:rsid w:val="7D565776"/>
    <w:rsid w:val="7D593007"/>
    <w:rsid w:val="7D6A0F7A"/>
    <w:rsid w:val="7D6E716F"/>
    <w:rsid w:val="7D717D97"/>
    <w:rsid w:val="7D747B63"/>
    <w:rsid w:val="7D7B4C93"/>
    <w:rsid w:val="7D7C63E4"/>
    <w:rsid w:val="7D7D7A6C"/>
    <w:rsid w:val="7D7F03F7"/>
    <w:rsid w:val="7D8001A4"/>
    <w:rsid w:val="7D871984"/>
    <w:rsid w:val="7D8B7A9D"/>
    <w:rsid w:val="7D8E3CA9"/>
    <w:rsid w:val="7D9260D6"/>
    <w:rsid w:val="7D9410A3"/>
    <w:rsid w:val="7DA46F56"/>
    <w:rsid w:val="7DA50246"/>
    <w:rsid w:val="7DAC5D40"/>
    <w:rsid w:val="7DB06728"/>
    <w:rsid w:val="7DB47C58"/>
    <w:rsid w:val="7DB755E9"/>
    <w:rsid w:val="7DB76FC9"/>
    <w:rsid w:val="7DBA5F84"/>
    <w:rsid w:val="7DC3726C"/>
    <w:rsid w:val="7DC479CB"/>
    <w:rsid w:val="7DC72596"/>
    <w:rsid w:val="7DCD6864"/>
    <w:rsid w:val="7DCE51E9"/>
    <w:rsid w:val="7DDE0E0E"/>
    <w:rsid w:val="7DDE70A4"/>
    <w:rsid w:val="7DE307E5"/>
    <w:rsid w:val="7DEA40BF"/>
    <w:rsid w:val="7DEC1A46"/>
    <w:rsid w:val="7DF935C9"/>
    <w:rsid w:val="7DF93660"/>
    <w:rsid w:val="7E03348D"/>
    <w:rsid w:val="7E070C98"/>
    <w:rsid w:val="7E0A78CB"/>
    <w:rsid w:val="7E0E6289"/>
    <w:rsid w:val="7E0F3DD1"/>
    <w:rsid w:val="7E1859E8"/>
    <w:rsid w:val="7E192908"/>
    <w:rsid w:val="7E1C7669"/>
    <w:rsid w:val="7E2146D3"/>
    <w:rsid w:val="7E215E37"/>
    <w:rsid w:val="7E273864"/>
    <w:rsid w:val="7E2779BC"/>
    <w:rsid w:val="7E2A2109"/>
    <w:rsid w:val="7E2A2B05"/>
    <w:rsid w:val="7E2B7AFD"/>
    <w:rsid w:val="7E2E2576"/>
    <w:rsid w:val="7E2E6FFE"/>
    <w:rsid w:val="7E342F3E"/>
    <w:rsid w:val="7E3C5544"/>
    <w:rsid w:val="7E3E0C73"/>
    <w:rsid w:val="7E404CD2"/>
    <w:rsid w:val="7E426024"/>
    <w:rsid w:val="7E46464E"/>
    <w:rsid w:val="7E4879B7"/>
    <w:rsid w:val="7E494906"/>
    <w:rsid w:val="7E4A11C8"/>
    <w:rsid w:val="7E4A7CDA"/>
    <w:rsid w:val="7E5343C0"/>
    <w:rsid w:val="7E5867D5"/>
    <w:rsid w:val="7E5A031C"/>
    <w:rsid w:val="7E5C27F5"/>
    <w:rsid w:val="7E637531"/>
    <w:rsid w:val="7E690AA1"/>
    <w:rsid w:val="7E7467A2"/>
    <w:rsid w:val="7E750AA5"/>
    <w:rsid w:val="7E7C2E97"/>
    <w:rsid w:val="7E81753F"/>
    <w:rsid w:val="7E875B0A"/>
    <w:rsid w:val="7E8B317A"/>
    <w:rsid w:val="7E8C02B6"/>
    <w:rsid w:val="7E8F172E"/>
    <w:rsid w:val="7E99779A"/>
    <w:rsid w:val="7E9A3016"/>
    <w:rsid w:val="7E9B60ED"/>
    <w:rsid w:val="7EA62BDE"/>
    <w:rsid w:val="7EA6486E"/>
    <w:rsid w:val="7EA87715"/>
    <w:rsid w:val="7EAC1132"/>
    <w:rsid w:val="7EAD75C5"/>
    <w:rsid w:val="7EAF15B3"/>
    <w:rsid w:val="7EB8104E"/>
    <w:rsid w:val="7EC30A4F"/>
    <w:rsid w:val="7EC3316C"/>
    <w:rsid w:val="7EC33DA5"/>
    <w:rsid w:val="7ECA3C03"/>
    <w:rsid w:val="7ECB1B5A"/>
    <w:rsid w:val="7ECE412D"/>
    <w:rsid w:val="7ED9010B"/>
    <w:rsid w:val="7ED94748"/>
    <w:rsid w:val="7EDA4513"/>
    <w:rsid w:val="7EDC0825"/>
    <w:rsid w:val="7EDF4B43"/>
    <w:rsid w:val="7EE13453"/>
    <w:rsid w:val="7EE26FA2"/>
    <w:rsid w:val="7EE4037A"/>
    <w:rsid w:val="7EE50DDC"/>
    <w:rsid w:val="7EE8052D"/>
    <w:rsid w:val="7EEA390C"/>
    <w:rsid w:val="7EEA58F1"/>
    <w:rsid w:val="7EED5CFF"/>
    <w:rsid w:val="7EEE1C43"/>
    <w:rsid w:val="7EF1563D"/>
    <w:rsid w:val="7EF313D3"/>
    <w:rsid w:val="7F04794A"/>
    <w:rsid w:val="7F05507A"/>
    <w:rsid w:val="7F0E6201"/>
    <w:rsid w:val="7F1009D3"/>
    <w:rsid w:val="7F17407A"/>
    <w:rsid w:val="7F1D2C71"/>
    <w:rsid w:val="7F1E3C7E"/>
    <w:rsid w:val="7F282437"/>
    <w:rsid w:val="7F2830FF"/>
    <w:rsid w:val="7F2904B3"/>
    <w:rsid w:val="7F292F44"/>
    <w:rsid w:val="7F37778B"/>
    <w:rsid w:val="7F3A6E10"/>
    <w:rsid w:val="7F3E156E"/>
    <w:rsid w:val="7F437511"/>
    <w:rsid w:val="7F453137"/>
    <w:rsid w:val="7F4B198E"/>
    <w:rsid w:val="7F4F1C79"/>
    <w:rsid w:val="7F503860"/>
    <w:rsid w:val="7F517164"/>
    <w:rsid w:val="7F522712"/>
    <w:rsid w:val="7F6150FD"/>
    <w:rsid w:val="7F6E5BDB"/>
    <w:rsid w:val="7F736FD4"/>
    <w:rsid w:val="7F77536F"/>
    <w:rsid w:val="7F7A2D83"/>
    <w:rsid w:val="7F7D75F2"/>
    <w:rsid w:val="7F7E04DA"/>
    <w:rsid w:val="7F826904"/>
    <w:rsid w:val="7F8D4FB4"/>
    <w:rsid w:val="7F8F0E92"/>
    <w:rsid w:val="7F907C00"/>
    <w:rsid w:val="7F91325C"/>
    <w:rsid w:val="7F95018C"/>
    <w:rsid w:val="7F97032D"/>
    <w:rsid w:val="7F9E396B"/>
    <w:rsid w:val="7F9F5B66"/>
    <w:rsid w:val="7FA426A6"/>
    <w:rsid w:val="7FA46F4A"/>
    <w:rsid w:val="7FB26B86"/>
    <w:rsid w:val="7FB8078E"/>
    <w:rsid w:val="7FB87A25"/>
    <w:rsid w:val="7FB9027B"/>
    <w:rsid w:val="7FBA4D06"/>
    <w:rsid w:val="7FBD3DD5"/>
    <w:rsid w:val="7FBF128D"/>
    <w:rsid w:val="7FC47EAF"/>
    <w:rsid w:val="7FC746BD"/>
    <w:rsid w:val="7FCB525D"/>
    <w:rsid w:val="7FCE7570"/>
    <w:rsid w:val="7FD25090"/>
    <w:rsid w:val="7FD67049"/>
    <w:rsid w:val="7FD8148D"/>
    <w:rsid w:val="7FDC7A1D"/>
    <w:rsid w:val="7FDF548C"/>
    <w:rsid w:val="7FE231CE"/>
    <w:rsid w:val="7FEA5BC6"/>
    <w:rsid w:val="7FF0023C"/>
    <w:rsid w:val="7FF065C3"/>
    <w:rsid w:val="7FF0689E"/>
    <w:rsid w:val="7FF074AC"/>
    <w:rsid w:val="7FF4202A"/>
    <w:rsid w:val="7FF55305"/>
    <w:rsid w:val="7FF705A1"/>
    <w:rsid w:val="7FF95BBC"/>
    <w:rsid w:val="7FFB33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0"/>
    <w:autoRedefine/>
    <w:qFormat/>
    <w:uiPriority w:val="0"/>
    <w:pPr>
      <w:keepNext/>
      <w:keepLines/>
      <w:pageBreakBefore/>
      <w:suppressLineNumbers/>
      <w:adjustRightInd w:val="0"/>
      <w:ind w:firstLine="0" w:firstLineChars="0"/>
      <w:jc w:val="center"/>
      <w:textAlignment w:val="baseline"/>
      <w:outlineLvl w:val="0"/>
    </w:pPr>
    <w:rPr>
      <w:rFonts w:eastAsia="黑体"/>
      <w:kern w:val="0"/>
      <w:sz w:val="32"/>
      <w:szCs w:val="20"/>
    </w:rPr>
  </w:style>
  <w:style w:type="paragraph" w:styleId="4">
    <w:name w:val="heading 2"/>
    <w:basedOn w:val="1"/>
    <w:next w:val="1"/>
    <w:autoRedefine/>
    <w:qFormat/>
    <w:uiPriority w:val="0"/>
    <w:pPr>
      <w:keepNext/>
      <w:keepLines/>
      <w:ind w:firstLine="0" w:firstLineChars="0"/>
      <w:jc w:val="left"/>
      <w:outlineLvl w:val="1"/>
    </w:pPr>
    <w:rPr>
      <w:rFonts w:eastAsia="黑体"/>
      <w:bCs/>
      <w:sz w:val="28"/>
      <w:szCs w:val="32"/>
    </w:rPr>
  </w:style>
  <w:style w:type="paragraph" w:styleId="5">
    <w:name w:val="heading 3"/>
    <w:basedOn w:val="1"/>
    <w:next w:val="1"/>
    <w:link w:val="41"/>
    <w:autoRedefine/>
    <w:qFormat/>
    <w:uiPriority w:val="0"/>
    <w:pPr>
      <w:keepNext/>
      <w:keepLines/>
      <w:ind w:firstLine="0" w:firstLineChars="0"/>
      <w:jc w:val="left"/>
      <w:outlineLvl w:val="2"/>
    </w:pPr>
    <w:rPr>
      <w:rFonts w:eastAsia="黑体"/>
      <w:bCs/>
      <w:szCs w:val="32"/>
    </w:rPr>
  </w:style>
  <w:style w:type="paragraph" w:styleId="6">
    <w:name w:val="heading 4"/>
    <w:basedOn w:val="1"/>
    <w:next w:val="1"/>
    <w:link w:val="42"/>
    <w:autoRedefine/>
    <w:qFormat/>
    <w:uiPriority w:val="0"/>
    <w:pPr>
      <w:keepNext/>
      <w:keepLines/>
      <w:ind w:firstLine="0" w:firstLineChars="0"/>
      <w:outlineLvl w:val="3"/>
    </w:pPr>
    <w:rPr>
      <w:b/>
      <w:bCs/>
      <w:szCs w:val="28"/>
    </w:rPr>
  </w:style>
  <w:style w:type="paragraph" w:styleId="7">
    <w:name w:val="heading 5"/>
    <w:basedOn w:val="1"/>
    <w:next w:val="1"/>
    <w:link w:val="46"/>
    <w:autoRedefine/>
    <w:qFormat/>
    <w:uiPriority w:val="0"/>
    <w:pPr>
      <w:keepNext/>
      <w:keepLines/>
      <w:spacing w:line="376" w:lineRule="auto"/>
      <w:outlineLvl w:val="4"/>
    </w:pPr>
    <w:rPr>
      <w:b/>
      <w:bCs/>
      <w:sz w:val="28"/>
      <w:szCs w:val="28"/>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2">
    <w:name w:val="macro"/>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hAnsi="Courier New" w:eastAsia="宋体" w:cs="Courier New"/>
      <w:kern w:val="2"/>
      <w:sz w:val="21"/>
      <w:szCs w:val="24"/>
      <w:lang w:val="en-US" w:eastAsia="zh-CN" w:bidi="ar-SA"/>
    </w:rPr>
  </w:style>
  <w:style w:type="paragraph" w:styleId="8">
    <w:name w:val="List Number"/>
    <w:basedOn w:val="1"/>
    <w:autoRedefine/>
    <w:qFormat/>
    <w:uiPriority w:val="0"/>
    <w:pPr>
      <w:tabs>
        <w:tab w:val="left" w:pos="720"/>
      </w:tabs>
      <w:ind w:left="720" w:hanging="720"/>
    </w:pPr>
  </w:style>
  <w:style w:type="paragraph" w:styleId="9">
    <w:name w:val="Normal Indent"/>
    <w:basedOn w:val="1"/>
    <w:autoRedefine/>
    <w:qFormat/>
    <w:uiPriority w:val="0"/>
    <w:rPr>
      <w:rFonts w:hAnsi="Arial Black"/>
      <w:sz w:val="20"/>
    </w:rPr>
  </w:style>
  <w:style w:type="paragraph" w:styleId="10">
    <w:name w:val="annotation text"/>
    <w:basedOn w:val="1"/>
    <w:link w:val="84"/>
    <w:autoRedefine/>
    <w:qFormat/>
    <w:uiPriority w:val="0"/>
    <w:pPr>
      <w:jc w:val="left"/>
    </w:pPr>
  </w:style>
  <w:style w:type="paragraph" w:styleId="11">
    <w:name w:val="Salutation"/>
    <w:basedOn w:val="1"/>
    <w:next w:val="1"/>
    <w:autoRedefine/>
    <w:qFormat/>
    <w:uiPriority w:val="0"/>
  </w:style>
  <w:style w:type="paragraph" w:styleId="12">
    <w:name w:val="Body Text"/>
    <w:basedOn w:val="1"/>
    <w:next w:val="13"/>
    <w:autoRedefine/>
    <w:qFormat/>
    <w:uiPriority w:val="0"/>
    <w:pPr>
      <w:spacing w:after="120"/>
    </w:pPr>
    <w:rPr>
      <w:sz w:val="21"/>
      <w:szCs w:val="20"/>
    </w:rPr>
  </w:style>
  <w:style w:type="paragraph" w:styleId="13">
    <w:name w:val="List Bullet 5"/>
    <w:basedOn w:val="1"/>
    <w:autoRedefine/>
    <w:semiHidden/>
    <w:unhideWhenUsed/>
    <w:qFormat/>
    <w:uiPriority w:val="99"/>
    <w:pPr>
      <w:numPr>
        <w:ilvl w:val="0"/>
        <w:numId w:val="1"/>
      </w:numPr>
    </w:pPr>
  </w:style>
  <w:style w:type="paragraph" w:styleId="14">
    <w:name w:val="Body Text Indent"/>
    <w:basedOn w:val="1"/>
    <w:next w:val="15"/>
    <w:autoRedefine/>
    <w:qFormat/>
    <w:uiPriority w:val="0"/>
    <w:pPr>
      <w:autoSpaceDE w:val="0"/>
      <w:autoSpaceDN w:val="0"/>
      <w:adjustRightInd w:val="0"/>
      <w:snapToGrid w:val="0"/>
      <w:ind w:firstLine="540"/>
      <w:jc w:val="left"/>
      <w:textAlignment w:val="baseline"/>
    </w:pPr>
  </w:style>
  <w:style w:type="paragraph" w:customStyle="1" w:styleId="15">
    <w:name w:val="样式 正文文本缩进 + 行距: 1.5 倍行距"/>
    <w:basedOn w:val="16"/>
    <w:next w:val="17"/>
    <w:autoRedefine/>
    <w:qFormat/>
    <w:uiPriority w:val="0"/>
    <w:pPr>
      <w:ind w:left="90" w:leftChars="32" w:firstLine="560"/>
    </w:pPr>
    <w:rPr>
      <w:rFonts w:cs="宋体"/>
      <w:szCs w:val="20"/>
    </w:rPr>
  </w:style>
  <w:style w:type="paragraph" w:customStyle="1" w:styleId="16">
    <w:name w:val="正文文本缩进1"/>
    <w:basedOn w:val="1"/>
    <w:next w:val="15"/>
    <w:autoRedefine/>
    <w:qFormat/>
    <w:uiPriority w:val="0"/>
    <w:pPr>
      <w:spacing w:after="120"/>
      <w:ind w:left="420" w:leftChars="200"/>
    </w:pPr>
  </w:style>
  <w:style w:type="paragraph" w:styleId="17">
    <w:name w:val="header"/>
    <w:basedOn w:val="1"/>
    <w:next w:val="18"/>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18">
    <w:name w:val="样式5"/>
    <w:basedOn w:val="1"/>
    <w:next w:val="19"/>
    <w:autoRedefine/>
    <w:qFormat/>
    <w:uiPriority w:val="0"/>
    <w:pPr>
      <w:spacing w:line="400" w:lineRule="exact"/>
      <w:ind w:firstLine="200"/>
    </w:pPr>
    <w:rPr>
      <w:szCs w:val="20"/>
    </w:rPr>
  </w:style>
  <w:style w:type="paragraph" w:styleId="19">
    <w:name w:val="endnote text"/>
    <w:basedOn w:val="1"/>
    <w:autoRedefine/>
    <w:qFormat/>
    <w:uiPriority w:val="0"/>
    <w:pPr>
      <w:snapToGrid w:val="0"/>
      <w:jc w:val="left"/>
    </w:pPr>
  </w:style>
  <w:style w:type="paragraph" w:styleId="20">
    <w:name w:val="List Number 3"/>
    <w:basedOn w:val="8"/>
    <w:autoRedefine/>
    <w:qFormat/>
    <w:uiPriority w:val="0"/>
    <w:pPr>
      <w:tabs>
        <w:tab w:val="left" w:pos="495"/>
        <w:tab w:val="left" w:pos="649"/>
        <w:tab w:val="left" w:pos="851"/>
        <w:tab w:val="left" w:pos="2040"/>
        <w:tab w:val="clear" w:pos="720"/>
      </w:tabs>
      <w:spacing w:afterLines="50"/>
      <w:ind w:left="2040" w:leftChars="800" w:hanging="525"/>
      <w:jc w:val="center"/>
    </w:pPr>
    <w:rPr>
      <w:rFonts w:eastAsia="黑体"/>
      <w:bCs/>
      <w:szCs w:val="20"/>
    </w:rPr>
  </w:style>
  <w:style w:type="paragraph" w:styleId="21">
    <w:name w:val="List 2"/>
    <w:basedOn w:val="1"/>
    <w:autoRedefine/>
    <w:qFormat/>
    <w:uiPriority w:val="0"/>
    <w:pPr>
      <w:ind w:left="100" w:leftChars="200" w:hanging="200" w:hangingChars="200"/>
    </w:pPr>
  </w:style>
  <w:style w:type="paragraph" w:styleId="22">
    <w:name w:val="Plain Text"/>
    <w:basedOn w:val="1"/>
    <w:link w:val="47"/>
    <w:autoRedefine/>
    <w:qFormat/>
    <w:uiPriority w:val="0"/>
    <w:rPr>
      <w:rFonts w:ascii="宋体" w:hAnsi="Courier New"/>
      <w:szCs w:val="20"/>
    </w:rPr>
  </w:style>
  <w:style w:type="paragraph" w:styleId="23">
    <w:name w:val="Body Text Indent 2"/>
    <w:basedOn w:val="1"/>
    <w:autoRedefine/>
    <w:qFormat/>
    <w:uiPriority w:val="0"/>
    <w:pPr>
      <w:snapToGrid w:val="0"/>
      <w:spacing w:line="480" w:lineRule="atLeast"/>
      <w:ind w:firstLine="480"/>
    </w:pPr>
  </w:style>
  <w:style w:type="paragraph" w:styleId="24">
    <w:name w:val="Balloon Text"/>
    <w:basedOn w:val="1"/>
    <w:link w:val="89"/>
    <w:autoRedefine/>
    <w:qFormat/>
    <w:uiPriority w:val="0"/>
    <w:pPr>
      <w:spacing w:line="240" w:lineRule="auto"/>
    </w:pPr>
    <w:rPr>
      <w:sz w:val="18"/>
      <w:szCs w:val="18"/>
    </w:rPr>
  </w:style>
  <w:style w:type="paragraph" w:styleId="25">
    <w:name w:val="footer"/>
    <w:basedOn w:val="1"/>
    <w:autoRedefine/>
    <w:qFormat/>
    <w:uiPriority w:val="0"/>
    <w:pPr>
      <w:tabs>
        <w:tab w:val="center" w:pos="4153"/>
        <w:tab w:val="right" w:pos="8306"/>
      </w:tabs>
      <w:snapToGrid w:val="0"/>
      <w:jc w:val="left"/>
    </w:pPr>
    <w:rPr>
      <w:sz w:val="18"/>
    </w:rPr>
  </w:style>
  <w:style w:type="paragraph" w:styleId="26">
    <w:name w:val="toc 1"/>
    <w:basedOn w:val="1"/>
    <w:next w:val="1"/>
    <w:autoRedefine/>
    <w:qFormat/>
    <w:uiPriority w:val="0"/>
  </w:style>
  <w:style w:type="paragraph" w:styleId="27">
    <w:name w:val="Subtitle"/>
    <w:basedOn w:val="1"/>
    <w:next w:val="1"/>
    <w:autoRedefine/>
    <w:qFormat/>
    <w:uiPriority w:val="0"/>
    <w:pPr>
      <w:spacing w:before="240" w:after="60" w:line="312" w:lineRule="auto"/>
      <w:jc w:val="center"/>
      <w:outlineLvl w:val="1"/>
    </w:pPr>
    <w:rPr>
      <w:rFonts w:ascii="等线" w:hAnsi="等线" w:eastAsia="等线"/>
      <w:b/>
      <w:bCs/>
      <w:kern w:val="28"/>
      <w:sz w:val="32"/>
      <w:szCs w:val="32"/>
    </w:rPr>
  </w:style>
  <w:style w:type="paragraph" w:styleId="28">
    <w:name w:val="List"/>
    <w:basedOn w:val="1"/>
    <w:autoRedefine/>
    <w:qFormat/>
    <w:uiPriority w:val="0"/>
    <w:pPr>
      <w:ind w:left="200" w:hanging="200" w:hangingChars="200"/>
    </w:pPr>
  </w:style>
  <w:style w:type="paragraph" w:styleId="29">
    <w:name w:val="Body Text Indent 3"/>
    <w:basedOn w:val="1"/>
    <w:autoRedefine/>
    <w:qFormat/>
    <w:uiPriority w:val="0"/>
    <w:pPr>
      <w:ind w:firstLine="560"/>
    </w:pPr>
  </w:style>
  <w:style w:type="paragraph" w:styleId="30">
    <w:name w:val="toc 2"/>
    <w:basedOn w:val="1"/>
    <w:next w:val="1"/>
    <w:autoRedefine/>
    <w:qFormat/>
    <w:uiPriority w:val="0"/>
    <w:pPr>
      <w:ind w:left="420" w:leftChars="200"/>
    </w:pPr>
  </w:style>
  <w:style w:type="paragraph" w:styleId="31">
    <w:name w:val="Normal (Web)"/>
    <w:basedOn w:val="1"/>
    <w:autoRedefine/>
    <w:qFormat/>
    <w:uiPriority w:val="0"/>
    <w:pPr>
      <w:widowControl/>
      <w:spacing w:before="100" w:beforeAutospacing="1" w:after="100" w:afterAutospacing="1"/>
      <w:jc w:val="left"/>
    </w:pPr>
    <w:rPr>
      <w:rFonts w:ascii="宋体" w:hAnsi="宋体"/>
      <w:color w:val="000000"/>
      <w:kern w:val="0"/>
    </w:rPr>
  </w:style>
  <w:style w:type="paragraph" w:styleId="32">
    <w:name w:val="annotation subject"/>
    <w:basedOn w:val="10"/>
    <w:next w:val="10"/>
    <w:link w:val="85"/>
    <w:autoRedefine/>
    <w:qFormat/>
    <w:uiPriority w:val="0"/>
    <w:rPr>
      <w:b/>
      <w:bCs/>
    </w:rPr>
  </w:style>
  <w:style w:type="paragraph" w:styleId="33">
    <w:name w:val="Body Text First Indent 2"/>
    <w:basedOn w:val="14"/>
    <w:next w:val="1"/>
    <w:autoRedefine/>
    <w:qFormat/>
    <w:uiPriority w:val="0"/>
    <w:pPr>
      <w:ind w:firstLine="420"/>
    </w:pPr>
    <w:rPr>
      <w:szCs w:val="20"/>
    </w:rPr>
  </w:style>
  <w:style w:type="table" w:styleId="35">
    <w:name w:val="Table Grid"/>
    <w:basedOn w:val="34"/>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Hyperlink"/>
    <w:basedOn w:val="36"/>
    <w:autoRedefine/>
    <w:qFormat/>
    <w:uiPriority w:val="99"/>
    <w:rPr>
      <w:color w:val="0000FF"/>
      <w:u w:val="single"/>
    </w:rPr>
  </w:style>
  <w:style w:type="character" w:styleId="38">
    <w:name w:val="annotation reference"/>
    <w:basedOn w:val="36"/>
    <w:autoRedefine/>
    <w:qFormat/>
    <w:uiPriority w:val="0"/>
    <w:rPr>
      <w:sz w:val="21"/>
      <w:szCs w:val="21"/>
    </w:rPr>
  </w:style>
  <w:style w:type="paragraph" w:customStyle="1" w:styleId="39">
    <w:name w:val="表格文字"/>
    <w:basedOn w:val="9"/>
    <w:next w:val="1"/>
    <w:autoRedefine/>
    <w:qFormat/>
    <w:uiPriority w:val="0"/>
    <w:pPr>
      <w:spacing w:line="240" w:lineRule="auto"/>
      <w:jc w:val="center"/>
    </w:pPr>
    <w:rPr>
      <w:rFonts w:hAnsi="Times New Roman"/>
      <w:spacing w:val="10"/>
      <w:kern w:val="0"/>
      <w:sz w:val="21"/>
      <w:szCs w:val="21"/>
    </w:rPr>
  </w:style>
  <w:style w:type="character" w:customStyle="1" w:styleId="40">
    <w:name w:val="标题 1 Char"/>
    <w:link w:val="3"/>
    <w:autoRedefine/>
    <w:qFormat/>
    <w:uiPriority w:val="0"/>
    <w:rPr>
      <w:rFonts w:ascii="Times New Roman" w:hAnsi="Times New Roman" w:eastAsia="黑体"/>
      <w:kern w:val="0"/>
      <w:sz w:val="32"/>
      <w:szCs w:val="20"/>
    </w:rPr>
  </w:style>
  <w:style w:type="character" w:customStyle="1" w:styleId="41">
    <w:name w:val="标题 3 Char"/>
    <w:link w:val="5"/>
    <w:autoRedefine/>
    <w:qFormat/>
    <w:uiPriority w:val="0"/>
    <w:rPr>
      <w:rFonts w:ascii="Times New Roman" w:hAnsi="Times New Roman" w:eastAsia="黑体"/>
      <w:bCs/>
      <w:kern w:val="2"/>
      <w:sz w:val="24"/>
      <w:szCs w:val="32"/>
    </w:rPr>
  </w:style>
  <w:style w:type="character" w:customStyle="1" w:styleId="42">
    <w:name w:val="标题 4 Char"/>
    <w:link w:val="6"/>
    <w:autoRedefine/>
    <w:qFormat/>
    <w:uiPriority w:val="0"/>
    <w:rPr>
      <w:rFonts w:ascii="Times New Roman" w:hAnsi="Times New Roman" w:eastAsia="宋体" w:cs="Times New Roman"/>
      <w:b/>
      <w:bCs/>
      <w:kern w:val="2"/>
      <w:sz w:val="24"/>
      <w:szCs w:val="28"/>
    </w:rPr>
  </w:style>
  <w:style w:type="paragraph" w:customStyle="1" w:styleId="43">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4">
    <w:name w:val="图表文字"/>
    <w:basedOn w:val="1"/>
    <w:autoRedefine/>
    <w:qFormat/>
    <w:uiPriority w:val="0"/>
    <w:pPr>
      <w:spacing w:line="240" w:lineRule="auto"/>
      <w:ind w:firstLine="0" w:firstLineChars="0"/>
      <w:jc w:val="center"/>
    </w:pPr>
    <w:rPr>
      <w:bCs/>
      <w:sz w:val="21"/>
      <w:szCs w:val="20"/>
    </w:rPr>
  </w:style>
  <w:style w:type="paragraph" w:customStyle="1" w:styleId="45">
    <w:name w:val="正文文本缩进11"/>
    <w:basedOn w:val="1"/>
    <w:next w:val="15"/>
    <w:autoRedefine/>
    <w:qFormat/>
    <w:uiPriority w:val="0"/>
    <w:pPr>
      <w:spacing w:after="120"/>
      <w:ind w:left="420" w:leftChars="200"/>
    </w:pPr>
  </w:style>
  <w:style w:type="character" w:customStyle="1" w:styleId="46">
    <w:name w:val="标题 5 Char"/>
    <w:link w:val="7"/>
    <w:autoRedefine/>
    <w:qFormat/>
    <w:uiPriority w:val="0"/>
    <w:rPr>
      <w:rFonts w:eastAsia="宋体"/>
      <w:b/>
      <w:bCs/>
      <w:kern w:val="2"/>
      <w:sz w:val="28"/>
      <w:szCs w:val="28"/>
      <w:lang w:val="en-US" w:eastAsia="zh-CN" w:bidi="ar-SA"/>
    </w:rPr>
  </w:style>
  <w:style w:type="character" w:customStyle="1" w:styleId="47">
    <w:name w:val="纯文本 Char"/>
    <w:link w:val="22"/>
    <w:autoRedefine/>
    <w:qFormat/>
    <w:uiPriority w:val="0"/>
    <w:rPr>
      <w:rFonts w:ascii="宋体" w:hAnsi="Courier New" w:eastAsia="宋体"/>
      <w:kern w:val="2"/>
      <w:sz w:val="21"/>
      <w:lang w:val="en-US" w:eastAsia="zh-CN" w:bidi="ar-SA"/>
    </w:rPr>
  </w:style>
  <w:style w:type="paragraph" w:customStyle="1" w:styleId="48">
    <w:name w:val="图、表头文字"/>
    <w:next w:val="1"/>
    <w:link w:val="49"/>
    <w:autoRedefine/>
    <w:qFormat/>
    <w:uiPriority w:val="0"/>
    <w:pPr>
      <w:spacing w:line="360" w:lineRule="auto"/>
      <w:jc w:val="center"/>
    </w:pPr>
    <w:rPr>
      <w:rFonts w:ascii="Times New Roman" w:hAnsi="Times New Roman" w:eastAsia="黑体" w:cs="Times New Roman"/>
      <w:kern w:val="2"/>
      <w:sz w:val="24"/>
      <w:szCs w:val="32"/>
      <w:lang w:val="en-US" w:eastAsia="zh-CN" w:bidi="ar-SA"/>
    </w:rPr>
  </w:style>
  <w:style w:type="character" w:customStyle="1" w:styleId="49">
    <w:name w:val="图、表头文字 Char"/>
    <w:link w:val="48"/>
    <w:autoRedefine/>
    <w:qFormat/>
    <w:uiPriority w:val="0"/>
    <w:rPr>
      <w:rFonts w:ascii="Times New Roman" w:hAnsi="Times New Roman" w:eastAsia="黑体" w:cs="Times New Roman"/>
      <w:kern w:val="2"/>
      <w:sz w:val="24"/>
      <w:szCs w:val="32"/>
      <w:lang w:val="en-US" w:eastAsia="zh-CN" w:bidi="ar-SA"/>
    </w:rPr>
  </w:style>
  <w:style w:type="paragraph" w:customStyle="1" w:styleId="5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1">
    <w:name w:val="表格内文字"/>
    <w:basedOn w:val="52"/>
    <w:next w:val="1"/>
    <w:autoRedefine/>
    <w:qFormat/>
    <w:uiPriority w:val="0"/>
    <w:pPr>
      <w:outlineLvl w:val="3"/>
    </w:pPr>
    <w:rPr>
      <w:bCs/>
      <w:szCs w:val="28"/>
    </w:rPr>
  </w:style>
  <w:style w:type="paragraph" w:customStyle="1" w:styleId="52">
    <w:name w:val="图表文"/>
    <w:basedOn w:val="1"/>
    <w:autoRedefine/>
    <w:qFormat/>
    <w:uiPriority w:val="0"/>
    <w:pPr>
      <w:adjustRightInd w:val="0"/>
      <w:spacing w:line="240" w:lineRule="auto"/>
      <w:ind w:firstLine="0" w:firstLineChars="0"/>
      <w:jc w:val="center"/>
    </w:pPr>
    <w:rPr>
      <w:sz w:val="21"/>
    </w:rPr>
  </w:style>
  <w:style w:type="paragraph" w:customStyle="1" w:styleId="53">
    <w:name w:val="Char"/>
    <w:basedOn w:val="1"/>
    <w:autoRedefine/>
    <w:qFormat/>
    <w:uiPriority w:val="99"/>
    <w:pPr>
      <w:jc w:val="center"/>
    </w:pPr>
    <w:rPr>
      <w:rFonts w:eastAsia="黑体"/>
    </w:rPr>
  </w:style>
  <w:style w:type="paragraph" w:styleId="54">
    <w:name w:val="List Paragraph"/>
    <w:basedOn w:val="1"/>
    <w:autoRedefine/>
    <w:qFormat/>
    <w:uiPriority w:val="0"/>
  </w:style>
  <w:style w:type="paragraph" w:customStyle="1" w:styleId="55">
    <w:name w:val="WPSOffice手动目录 1"/>
    <w:autoRedefine/>
    <w:qFormat/>
    <w:uiPriority w:val="0"/>
    <w:rPr>
      <w:rFonts w:ascii="Times New Roman" w:hAnsi="Times New Roman" w:eastAsia="宋体" w:cs="Times New Roman"/>
      <w:lang w:val="en-US" w:eastAsia="zh-CN" w:bidi="ar-SA"/>
    </w:rPr>
  </w:style>
  <w:style w:type="paragraph" w:customStyle="1" w:styleId="56">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7">
    <w:name w:val="font11"/>
    <w:basedOn w:val="36"/>
    <w:autoRedefine/>
    <w:qFormat/>
    <w:uiPriority w:val="0"/>
    <w:rPr>
      <w:rFonts w:hint="default" w:ascii="Times New Roman" w:hAnsi="Times New Roman" w:cs="Times New Roman"/>
      <w:color w:val="000000"/>
      <w:sz w:val="21"/>
      <w:szCs w:val="21"/>
      <w:u w:val="none"/>
    </w:rPr>
  </w:style>
  <w:style w:type="character" w:customStyle="1" w:styleId="58">
    <w:name w:val="font21"/>
    <w:basedOn w:val="36"/>
    <w:autoRedefine/>
    <w:qFormat/>
    <w:uiPriority w:val="0"/>
    <w:rPr>
      <w:rFonts w:hint="eastAsia" w:ascii="宋体" w:hAnsi="宋体" w:eastAsia="宋体" w:cs="宋体"/>
      <w:color w:val="000000"/>
      <w:sz w:val="21"/>
      <w:szCs w:val="21"/>
      <w:u w:val="none"/>
    </w:rPr>
  </w:style>
  <w:style w:type="character" w:customStyle="1" w:styleId="59">
    <w:name w:val="font31"/>
    <w:basedOn w:val="36"/>
    <w:autoRedefine/>
    <w:qFormat/>
    <w:uiPriority w:val="0"/>
    <w:rPr>
      <w:rFonts w:hint="default" w:ascii="Times New Roman" w:hAnsi="Times New Roman" w:cs="Times New Roman"/>
      <w:color w:val="000000"/>
      <w:sz w:val="21"/>
      <w:szCs w:val="21"/>
      <w:u w:val="none"/>
    </w:rPr>
  </w:style>
  <w:style w:type="character" w:customStyle="1" w:styleId="60">
    <w:name w:val="font61"/>
    <w:basedOn w:val="36"/>
    <w:autoRedefine/>
    <w:qFormat/>
    <w:uiPriority w:val="0"/>
    <w:rPr>
      <w:rFonts w:hint="eastAsia" w:ascii="宋体" w:hAnsi="宋体" w:eastAsia="宋体" w:cs="宋体"/>
      <w:color w:val="000000"/>
      <w:sz w:val="21"/>
      <w:szCs w:val="21"/>
      <w:u w:val="none"/>
    </w:rPr>
  </w:style>
  <w:style w:type="paragraph" w:customStyle="1" w:styleId="61">
    <w:name w:val="B-缩进"/>
    <w:basedOn w:val="1"/>
    <w:autoRedefine/>
    <w:qFormat/>
    <w:uiPriority w:val="0"/>
    <w:pPr>
      <w:spacing w:after="60"/>
      <w:ind w:firstLine="200"/>
    </w:pPr>
  </w:style>
  <w:style w:type="paragraph" w:customStyle="1" w:styleId="62">
    <w:name w:val="msolistparagraph"/>
    <w:basedOn w:val="1"/>
    <w:autoRedefine/>
    <w:qFormat/>
    <w:uiPriority w:val="0"/>
    <w:rPr>
      <w:rFonts w:ascii="Calibri" w:hAnsi="Calibri"/>
    </w:rPr>
  </w:style>
  <w:style w:type="paragraph" w:customStyle="1" w:styleId="63">
    <w:name w:val="Char1"/>
    <w:basedOn w:val="1"/>
    <w:autoRedefine/>
    <w:qFormat/>
    <w:uiPriority w:val="0"/>
    <w:pPr>
      <w:ind w:firstLine="200"/>
    </w:pPr>
    <w:rPr>
      <w:rFonts w:ascii="宋体" w:hAnsi="宋体" w:cs="宋体"/>
    </w:rPr>
  </w:style>
  <w:style w:type="paragraph" w:customStyle="1" w:styleId="64">
    <w:name w:val="普通(网站)1"/>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65">
    <w:name w:val="表格字体"/>
    <w:basedOn w:val="1"/>
    <w:autoRedefine/>
    <w:qFormat/>
    <w:uiPriority w:val="0"/>
    <w:pPr>
      <w:adjustRightInd w:val="0"/>
      <w:snapToGrid w:val="0"/>
      <w:spacing w:beforeLines="20" w:afterLines="20"/>
      <w:jc w:val="center"/>
    </w:pPr>
    <w:rPr>
      <w:color w:val="000000"/>
      <w:kern w:val="28"/>
      <w:sz w:val="21"/>
      <w:szCs w:val="21"/>
    </w:rPr>
  </w:style>
  <w:style w:type="paragraph" w:customStyle="1" w:styleId="66">
    <w:name w:val="Table Paragraph"/>
    <w:basedOn w:val="1"/>
    <w:autoRedefine/>
    <w:qFormat/>
    <w:uiPriority w:val="1"/>
    <w:rPr>
      <w:rFonts w:ascii="宋体" w:hAnsi="宋体" w:cs="宋体"/>
      <w:lang w:val="zh-CN" w:bidi="zh-CN"/>
    </w:rPr>
  </w:style>
  <w:style w:type="paragraph" w:customStyle="1" w:styleId="67">
    <w:name w:val="表格内容"/>
    <w:basedOn w:val="1"/>
    <w:autoRedefine/>
    <w:qFormat/>
    <w:uiPriority w:val="0"/>
    <w:pPr>
      <w:jc w:val="center"/>
    </w:pPr>
  </w:style>
  <w:style w:type="paragraph" w:customStyle="1" w:styleId="68">
    <w:name w:val="正文hks"/>
    <w:basedOn w:val="1"/>
    <w:autoRedefine/>
    <w:qFormat/>
    <w:uiPriority w:val="0"/>
    <w:pPr>
      <w:ind w:firstLine="200"/>
    </w:pPr>
    <w:rPr>
      <w:szCs w:val="22"/>
    </w:rPr>
  </w:style>
  <w:style w:type="paragraph" w:customStyle="1" w:styleId="69">
    <w:name w:val="表头2"/>
    <w:basedOn w:val="1"/>
    <w:autoRedefine/>
    <w:qFormat/>
    <w:uiPriority w:val="0"/>
    <w:pPr>
      <w:contextualSpacing/>
      <w:jc w:val="center"/>
    </w:pPr>
    <w:rPr>
      <w:b/>
      <w:snapToGrid w:val="0"/>
      <w:color w:val="000000"/>
      <w:kern w:val="28"/>
    </w:rPr>
  </w:style>
  <w:style w:type="paragraph" w:customStyle="1" w:styleId="70">
    <w:name w:val="样式1"/>
    <w:basedOn w:val="14"/>
    <w:autoRedefine/>
    <w:qFormat/>
    <w:uiPriority w:val="0"/>
    <w:pPr>
      <w:spacing w:line="480" w:lineRule="atLeast"/>
      <w:ind w:firstLine="567"/>
      <w:jc w:val="center"/>
    </w:pPr>
    <w:rPr>
      <w:kern w:val="0"/>
      <w:szCs w:val="20"/>
    </w:rPr>
  </w:style>
  <w:style w:type="paragraph" w:customStyle="1" w:styleId="71">
    <w:name w:val="Normal_bf80962d-dba7-403b-b81a-d8843162abaf"/>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2">
    <w:name w:val="Plain Text_d437caef-5730-4540-84ae-149598dae283"/>
    <w:basedOn w:val="1"/>
    <w:autoRedefine/>
    <w:qFormat/>
    <w:uiPriority w:val="99"/>
    <w:rPr>
      <w:rFonts w:hAnsi="Courier New"/>
      <w:sz w:val="21"/>
    </w:rPr>
  </w:style>
  <w:style w:type="paragraph" w:customStyle="1" w:styleId="73">
    <w:name w:val="Plain Text_8f4f53bc-0292-40d5-9e4a-328eae6357f6"/>
    <w:basedOn w:val="1"/>
    <w:autoRedefine/>
    <w:qFormat/>
    <w:uiPriority w:val="99"/>
    <w:rPr>
      <w:rFonts w:hAnsi="Courier New"/>
      <w:sz w:val="21"/>
    </w:rPr>
  </w:style>
  <w:style w:type="paragraph" w:customStyle="1" w:styleId="74">
    <w:name w:val="Normal_98f2f82a-addb-4e28-b3b2-f86644d1f84e"/>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5">
    <w:name w:val="表格x"/>
    <w:basedOn w:val="1"/>
    <w:autoRedefine/>
    <w:qFormat/>
    <w:uiPriority w:val="0"/>
    <w:pPr>
      <w:widowControl/>
      <w:ind w:firstLine="1044"/>
      <w:jc w:val="center"/>
    </w:pPr>
    <w:rPr>
      <w:rFonts w:eastAsia="Times New Roman"/>
      <w:color w:val="000000"/>
      <w:kern w:val="0"/>
      <w:sz w:val="20"/>
      <w:szCs w:val="21"/>
    </w:rPr>
  </w:style>
  <w:style w:type="paragraph" w:customStyle="1" w:styleId="76">
    <w:name w:val="样式 样式 正文x + 首行缩进:  2 字符2 + 首行缩进:  2 字符"/>
    <w:basedOn w:val="1"/>
    <w:autoRedefine/>
    <w:qFormat/>
    <w:uiPriority w:val="0"/>
    <w:pPr>
      <w:ind w:firstLine="480"/>
    </w:pPr>
    <w:rPr>
      <w:rFonts w:cs="宋体"/>
      <w:kern w:val="24"/>
      <w:szCs w:val="20"/>
      <w:lang w:bidi="he-IL"/>
    </w:rPr>
  </w:style>
  <w:style w:type="paragraph" w:customStyle="1" w:styleId="77">
    <w:name w:val="SB表格"/>
    <w:basedOn w:val="1"/>
    <w:autoRedefine/>
    <w:qFormat/>
    <w:uiPriority w:val="0"/>
    <w:pPr>
      <w:adjustRightInd w:val="0"/>
      <w:snapToGrid w:val="0"/>
      <w:spacing w:line="280" w:lineRule="exact"/>
      <w:ind w:firstLine="0" w:firstLineChars="0"/>
      <w:jc w:val="center"/>
    </w:pPr>
    <w:rPr>
      <w:sz w:val="21"/>
      <w:szCs w:val="21"/>
    </w:rPr>
  </w:style>
  <w:style w:type="character" w:customStyle="1" w:styleId="78">
    <w:name w:val="font41"/>
    <w:basedOn w:val="36"/>
    <w:autoRedefine/>
    <w:qFormat/>
    <w:uiPriority w:val="0"/>
    <w:rPr>
      <w:rFonts w:ascii="宋体" w:hAnsi="宋体" w:eastAsia="宋体" w:cs="宋体"/>
      <w:color w:val="000000"/>
      <w:sz w:val="20"/>
      <w:szCs w:val="20"/>
      <w:u w:val="none"/>
    </w:rPr>
  </w:style>
  <w:style w:type="character" w:customStyle="1" w:styleId="79">
    <w:name w:val="font51"/>
    <w:basedOn w:val="36"/>
    <w:autoRedefine/>
    <w:qFormat/>
    <w:uiPriority w:val="0"/>
    <w:rPr>
      <w:rFonts w:hint="default" w:ascii="Times New Roman" w:hAnsi="Times New Roman" w:cs="Times New Roman"/>
      <w:color w:val="000000"/>
      <w:sz w:val="20"/>
      <w:szCs w:val="20"/>
      <w:u w:val="none"/>
    </w:rPr>
  </w:style>
  <w:style w:type="character" w:customStyle="1" w:styleId="80">
    <w:name w:val="font71"/>
    <w:basedOn w:val="36"/>
    <w:autoRedefine/>
    <w:qFormat/>
    <w:uiPriority w:val="0"/>
    <w:rPr>
      <w:rFonts w:ascii="宋体" w:hAnsi="宋体" w:eastAsia="宋体" w:cs="宋体"/>
      <w:color w:val="000000"/>
      <w:sz w:val="22"/>
      <w:szCs w:val="22"/>
      <w:u w:val="none"/>
    </w:rPr>
  </w:style>
  <w:style w:type="character" w:customStyle="1" w:styleId="81">
    <w:name w:val="font81"/>
    <w:basedOn w:val="36"/>
    <w:autoRedefine/>
    <w:qFormat/>
    <w:uiPriority w:val="0"/>
    <w:rPr>
      <w:rFonts w:hint="default" w:ascii="Times New Roman" w:hAnsi="Times New Roman" w:cs="Times New Roman"/>
      <w:color w:val="000000"/>
      <w:sz w:val="20"/>
      <w:szCs w:val="20"/>
      <w:u w:val="none"/>
    </w:rPr>
  </w:style>
  <w:style w:type="paragraph" w:customStyle="1" w:styleId="82">
    <w:name w:val="Normal_f01291cb-c137-4496-b5d3-f2d268d9c1ab"/>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3">
    <w:name w:val="Normal_a21be05b-2c8f-493e-bf9a-ce7daf42d086"/>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84">
    <w:name w:val="批注文字 Char"/>
    <w:basedOn w:val="36"/>
    <w:link w:val="10"/>
    <w:autoRedefine/>
    <w:qFormat/>
    <w:uiPriority w:val="0"/>
    <w:rPr>
      <w:kern w:val="2"/>
      <w:sz w:val="24"/>
      <w:szCs w:val="24"/>
    </w:rPr>
  </w:style>
  <w:style w:type="character" w:customStyle="1" w:styleId="85">
    <w:name w:val="批注主题 Char"/>
    <w:basedOn w:val="84"/>
    <w:link w:val="32"/>
    <w:autoRedefine/>
    <w:qFormat/>
    <w:uiPriority w:val="0"/>
    <w:rPr>
      <w:b/>
      <w:bCs/>
      <w:kern w:val="2"/>
      <w:sz w:val="24"/>
      <w:szCs w:val="24"/>
    </w:rPr>
  </w:style>
  <w:style w:type="table" w:customStyle="1" w:styleId="86">
    <w:name w:val="Table Normal"/>
    <w:autoRedefine/>
    <w:semiHidden/>
    <w:unhideWhenUsed/>
    <w:qFormat/>
    <w:uiPriority w:val="0"/>
    <w:tblPr>
      <w:tblCellMar>
        <w:top w:w="0" w:type="dxa"/>
        <w:left w:w="0" w:type="dxa"/>
        <w:bottom w:w="0" w:type="dxa"/>
        <w:right w:w="0" w:type="dxa"/>
      </w:tblCellMar>
    </w:tblPr>
  </w:style>
  <w:style w:type="paragraph" w:customStyle="1" w:styleId="87">
    <w:name w:val="Table Text"/>
    <w:basedOn w:val="1"/>
    <w:autoRedefine/>
    <w:semiHidden/>
    <w:qFormat/>
    <w:uiPriority w:val="0"/>
    <w:rPr>
      <w:rFonts w:ascii="宋体" w:hAnsi="宋体" w:cs="宋体"/>
      <w:sz w:val="20"/>
      <w:szCs w:val="20"/>
      <w:lang w:eastAsia="en-US"/>
    </w:rPr>
  </w:style>
  <w:style w:type="paragraph" w:customStyle="1" w:styleId="88">
    <w:name w:val="Normal_c063710f-2037-46b7-8f2c-fcea994b5f83"/>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89">
    <w:name w:val="批注框文本 Char"/>
    <w:basedOn w:val="36"/>
    <w:link w:val="24"/>
    <w:autoRedefine/>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3.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2.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2.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emf"/><Relationship Id="rId21" Type="http://schemas.openxmlformats.org/officeDocument/2006/relationships/oleObject" Target="embeddings/oleObject1.bin"/><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2" Type="http://schemas.openxmlformats.org/officeDocument/2006/relationships/fontTable" Target="fontTable.xml"/><Relationship Id="rId111" Type="http://schemas.openxmlformats.org/officeDocument/2006/relationships/customXml" Target="../customXml/item2.xml"/><Relationship Id="rId110" Type="http://schemas.openxmlformats.org/officeDocument/2006/relationships/numbering" Target="numbering.xml"/><Relationship Id="rId11" Type="http://schemas.openxmlformats.org/officeDocument/2006/relationships/footer" Target="footer5.xml"/><Relationship Id="rId109" Type="http://schemas.openxmlformats.org/officeDocument/2006/relationships/customXml" Target="../customXml/item1.xml"/><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pn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2BEDE-46B9-48CC-A0F1-C1D208A49C7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122</Pages>
  <Words>34555</Words>
  <Characters>49052</Characters>
  <Lines>428</Lines>
  <Paragraphs>120</Paragraphs>
  <TotalTime>3</TotalTime>
  <ScaleCrop>false</ScaleCrop>
  <LinksUpToDate>false</LinksUpToDate>
  <CharactersWithSpaces>50997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2024-03-29T11:19:00Z</dcterms:created>
  <dc:creator>雨林木风</dc:creator>
  <cp:lastModifiedBy>更好的自己</cp:lastModifiedBy>
  <cp:lastPrinted>2022-03-09T00:42:00Z</cp:lastPrinted>
  <dcterms:modified xsi:type="dcterms:W3CDTF">2024-04-03T03:08:29Z</dcterms:modified>
  <dc:title>目  录</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C9D0A958F555414A8DFA4880C0BD7489_13</vt:lpwstr>
  </property>
</Properties>
</file>